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66" w:tblpY="627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383"/>
        <w:gridCol w:w="688"/>
        <w:gridCol w:w="21"/>
        <w:gridCol w:w="567"/>
        <w:gridCol w:w="141"/>
        <w:gridCol w:w="492"/>
        <w:gridCol w:w="76"/>
        <w:gridCol w:w="712"/>
        <w:gridCol w:w="141"/>
        <w:gridCol w:w="142"/>
        <w:gridCol w:w="151"/>
        <w:gridCol w:w="274"/>
        <w:gridCol w:w="379"/>
        <w:gridCol w:w="472"/>
        <w:gridCol w:w="395"/>
        <w:gridCol w:w="71"/>
        <w:gridCol w:w="243"/>
        <w:gridCol w:w="289"/>
        <w:gridCol w:w="405"/>
        <w:gridCol w:w="14"/>
        <w:gridCol w:w="303"/>
        <w:gridCol w:w="548"/>
        <w:gridCol w:w="73"/>
        <w:gridCol w:w="543"/>
        <w:gridCol w:w="395"/>
        <w:gridCol w:w="1180"/>
      </w:tblGrid>
      <w:tr w:rsidR="00385568" w:rsidRPr="00385568" w:rsidTr="00030232">
        <w:trPr>
          <w:trHeight w:val="1611"/>
        </w:trPr>
        <w:tc>
          <w:tcPr>
            <w:tcW w:w="6628" w:type="dxa"/>
            <w:gridSpan w:val="16"/>
          </w:tcPr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Nazwa projektu (tytuł)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Projekt ustawy o systemie monitorowania drogowego przewozu towarów.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Organ odpowiedzialny za opracowanie projektu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Minister Rozwoju i Finansów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Osoba odpowiedzialna za opracowanie projektu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Marian Banaś Podsekretarz Stanu w Ministerstwie Finansów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Kontakt do opiekuna merytorycznego projektu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Robert Michalski, Naczelnik Wydziału Organizacji Służby Celnej w Departamencie Służby Celnej Ministerstwa Finansów</w:t>
            </w:r>
          </w:p>
          <w:p w:rsidR="00FB7435" w:rsidRPr="00FB7435" w:rsidRDefault="00FB7435" w:rsidP="00FB743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FB74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(22) 694-33-62</w:t>
            </w:r>
          </w:p>
          <w:p w:rsidR="00FB7435" w:rsidRPr="00FB7435" w:rsidRDefault="000F6ED3" w:rsidP="00FB7435">
            <w:pPr>
              <w:spacing w:after="0" w:line="240" w:lineRule="auto"/>
              <w:ind w:left="45" w:hanging="4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hyperlink r:id="rId8" w:history="1">
              <w:r w:rsidR="00FB7435" w:rsidRPr="005A6092">
                <w:rPr>
                  <w:rStyle w:val="Hipercze"/>
                  <w:rFonts w:ascii="Times New Roman" w:eastAsia="Calibri" w:hAnsi="Times New Roman" w:cs="Times New Roman"/>
                  <w:lang w:eastAsia="en-US"/>
                </w:rPr>
                <w:t>robert.michalski2@mf.gov.pl</w:t>
              </w:r>
            </w:hyperlink>
          </w:p>
        </w:tc>
        <w:tc>
          <w:tcPr>
            <w:tcW w:w="4064" w:type="dxa"/>
            <w:gridSpan w:val="11"/>
            <w:shd w:val="clear" w:color="auto" w:fill="FFFFFF"/>
          </w:tcPr>
          <w:p w:rsidR="00385568" w:rsidRPr="007C0F38" w:rsidRDefault="00385568" w:rsidP="00E96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C0F38">
              <w:rPr>
                <w:rFonts w:ascii="Times New Roman" w:eastAsia="Calibri" w:hAnsi="Times New Roman" w:cs="Times New Roman"/>
                <w:b/>
                <w:lang w:eastAsia="en-US"/>
              </w:rPr>
              <w:t>Data sporządzenia</w:t>
            </w:r>
            <w:r w:rsidRPr="007C0F38">
              <w:rPr>
                <w:rFonts w:ascii="Times New Roman" w:eastAsia="Calibri" w:hAnsi="Times New Roman" w:cs="Times New Roman"/>
                <w:b/>
                <w:lang w:eastAsia="en-US"/>
              </w:rPr>
              <w:br/>
            </w:r>
            <w:r w:rsidR="002703D2">
              <w:rPr>
                <w:rFonts w:ascii="Times New Roman" w:eastAsia="Calibri" w:hAnsi="Times New Roman" w:cs="Times New Roman"/>
                <w:lang w:eastAsia="en-US"/>
              </w:rPr>
              <w:t>09</w:t>
            </w:r>
            <w:r w:rsidR="00D34BDC">
              <w:rPr>
                <w:rFonts w:ascii="Times New Roman" w:eastAsia="Calibri" w:hAnsi="Times New Roman" w:cs="Times New Roman"/>
                <w:lang w:eastAsia="en-US"/>
              </w:rPr>
              <w:t>.1</w:t>
            </w:r>
            <w:r w:rsidR="002703D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7C0F38">
              <w:rPr>
                <w:rFonts w:ascii="Times New Roman" w:eastAsia="Calibri" w:hAnsi="Times New Roman" w:cs="Times New Roman"/>
                <w:lang w:eastAsia="en-US"/>
              </w:rPr>
              <w:t>.2016</w:t>
            </w:r>
            <w:r w:rsidR="00447C9A">
              <w:rPr>
                <w:rFonts w:ascii="Times New Roman" w:eastAsia="Calibri" w:hAnsi="Times New Roman" w:cs="Times New Roman"/>
                <w:lang w:eastAsia="en-US"/>
              </w:rPr>
              <w:t xml:space="preserve"> r.</w:t>
            </w:r>
          </w:p>
          <w:p w:rsidR="00385568" w:rsidRPr="007C0F38" w:rsidRDefault="00385568" w:rsidP="00E96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B7435" w:rsidRDefault="00FB7435" w:rsidP="00E96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B7435" w:rsidRDefault="00FB7435" w:rsidP="00E96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B7435" w:rsidRDefault="00FB7435" w:rsidP="00E96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B7435" w:rsidRDefault="00FB7435" w:rsidP="00E96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85568" w:rsidRDefault="00385568" w:rsidP="00E96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C0F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Źródło: </w:t>
            </w:r>
            <w:bookmarkStart w:id="0" w:name="Lista1"/>
          </w:p>
          <w:p w:rsidR="00DC44BE" w:rsidRPr="00DC44BE" w:rsidRDefault="00DC44BE" w:rsidP="00E96E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bookmarkEnd w:id="0"/>
          <w:p w:rsidR="00FB7435" w:rsidRDefault="00FB7435" w:rsidP="00E96EF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FB7435" w:rsidRDefault="00FB7435" w:rsidP="00E96EF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FB7435" w:rsidRDefault="00FB7435" w:rsidP="00E96EF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385568" w:rsidRDefault="00385568" w:rsidP="00E96EF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0F3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Nr w wykazie prac</w:t>
            </w:r>
          </w:p>
          <w:p w:rsidR="00DC44BE" w:rsidRPr="00DC44BE" w:rsidRDefault="00DC44BE" w:rsidP="00E96EF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C44BE">
              <w:rPr>
                <w:rFonts w:ascii="Times New Roman" w:eastAsia="Calibri" w:hAnsi="Times New Roman" w:cs="Times New Roman"/>
                <w:color w:val="000000"/>
                <w:lang w:eastAsia="en-US"/>
              </w:rPr>
              <w:t>UD169</w:t>
            </w:r>
          </w:p>
          <w:p w:rsidR="00385568" w:rsidRPr="007C0F38" w:rsidRDefault="00385568" w:rsidP="00E96E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385568" w:rsidRPr="00385568" w:rsidTr="00030232">
        <w:trPr>
          <w:trHeight w:val="60"/>
        </w:trPr>
        <w:tc>
          <w:tcPr>
            <w:tcW w:w="10692" w:type="dxa"/>
            <w:gridSpan w:val="27"/>
            <w:shd w:val="clear" w:color="auto" w:fill="99CCFF"/>
          </w:tcPr>
          <w:p w:rsidR="00385568" w:rsidRPr="007C0F38" w:rsidRDefault="00385568" w:rsidP="00E96EF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</w:pPr>
            <w:r w:rsidRPr="007C0F38">
              <w:rPr>
                <w:rFonts w:ascii="Times New Roman" w:eastAsia="Calibri" w:hAnsi="Times New Roman" w:cs="Times New Roman"/>
                <w:b/>
                <w:color w:val="FFFFFF"/>
                <w:lang w:eastAsia="en-US"/>
              </w:rPr>
              <w:t>OCENA SKUTKÓW REGULACJI</w:t>
            </w:r>
          </w:p>
        </w:tc>
      </w:tr>
      <w:tr w:rsidR="00385568" w:rsidRPr="00385568" w:rsidTr="00030232">
        <w:trPr>
          <w:trHeight w:val="333"/>
        </w:trPr>
        <w:tc>
          <w:tcPr>
            <w:tcW w:w="10692" w:type="dxa"/>
            <w:gridSpan w:val="27"/>
            <w:shd w:val="clear" w:color="auto" w:fill="99CCFF"/>
            <w:vAlign w:val="center"/>
          </w:tcPr>
          <w:p w:rsidR="00385568" w:rsidRPr="007C0F38" w:rsidRDefault="00385568" w:rsidP="00E96EF7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C0F38">
              <w:rPr>
                <w:rFonts w:ascii="Times New Roman" w:eastAsia="Calibri" w:hAnsi="Times New Roman" w:cs="Times New Roman"/>
                <w:b/>
                <w:lang w:eastAsia="en-US"/>
              </w:rPr>
              <w:t>Jaki problem jest rozwiązywany?</w:t>
            </w:r>
            <w:bookmarkStart w:id="1" w:name="Wybór1"/>
            <w:bookmarkEnd w:id="1"/>
          </w:p>
        </w:tc>
      </w:tr>
      <w:tr w:rsidR="00385568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FFFFFF"/>
          </w:tcPr>
          <w:p w:rsidR="0044405B" w:rsidRDefault="00BB2606" w:rsidP="0044405B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E16B02">
              <w:rPr>
                <w:rFonts w:ascii="Times New Roman" w:eastAsia="Times New Roman" w:hAnsi="Times New Roman" w:cs="Times New Roman"/>
              </w:rPr>
              <w:t>bjęcie monitoringiem przewozów drogowych pr</w:t>
            </w:r>
            <w:r>
              <w:rPr>
                <w:rFonts w:ascii="Times New Roman" w:eastAsia="Times New Roman" w:hAnsi="Times New Roman" w:cs="Times New Roman"/>
              </w:rPr>
              <w:t>owadzonych na terytorium Polski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BB2606">
              <w:rPr>
                <w:rFonts w:ascii="Times New Roman" w:eastAsia="Times New Roman" w:hAnsi="Times New Roman" w:cs="Times New Roman"/>
              </w:rPr>
              <w:t xml:space="preserve">a na celu </w:t>
            </w:r>
            <w:r>
              <w:rPr>
                <w:rFonts w:ascii="Times New Roman" w:eastAsia="Times New Roman" w:hAnsi="Times New Roman" w:cs="Times New Roman"/>
              </w:rPr>
              <w:t>normalizację warunków prowadzenia działalności gospodarczej w</w:t>
            </w:r>
            <w:r w:rsidRPr="00BB2606">
              <w:rPr>
                <w:rFonts w:ascii="Times New Roman" w:eastAsia="Times New Roman" w:hAnsi="Times New Roman" w:cs="Times New Roman"/>
              </w:rPr>
              <w:t xml:space="preserve"> obszarach, w których stwierdza się najwięcej nieprawidłowości, dotyczących w szczególności wyłudzania i niepłacenia podatku od towarów i usług, czy uszczupleń w podatku akcyzow</w:t>
            </w:r>
            <w:r>
              <w:rPr>
                <w:rFonts w:ascii="Times New Roman" w:eastAsia="Times New Roman" w:hAnsi="Times New Roman" w:cs="Times New Roman"/>
              </w:rPr>
              <w:t>ym oraz innych, istotnych naruszeń</w:t>
            </w:r>
            <w:r w:rsidRPr="00BB2606">
              <w:rPr>
                <w:rFonts w:ascii="Times New Roman" w:eastAsia="Times New Roman" w:hAnsi="Times New Roman" w:cs="Times New Roman"/>
              </w:rPr>
              <w:t xml:space="preserve"> przepisów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80155">
              <w:rPr>
                <w:rFonts w:ascii="Times New Roman" w:eastAsia="Times New Roman" w:hAnsi="Times New Roman" w:cs="Times New Roman"/>
              </w:rPr>
              <w:t xml:space="preserve"> Dzięki wprowadzanym rozwiązaniom prawnym możliwa będzie skuteczna ochrona interesów rzetelnych podmiotów poprzez eliminację nieuczciwej konkurencji powodującej zakłócenia gospodarcze. Zmniejszą się też obciążenia ponoszone przez uczciwych podatników w wyniku zahamowania procederu </w:t>
            </w:r>
            <w:r w:rsidR="00684F6C">
              <w:rPr>
                <w:rFonts w:ascii="Times New Roman" w:eastAsia="Times New Roman" w:hAnsi="Times New Roman" w:cs="Times New Roman"/>
              </w:rPr>
              <w:t>wyłudzeń</w:t>
            </w:r>
            <w:r w:rsidR="00B80155" w:rsidRPr="00B80155">
              <w:rPr>
                <w:rFonts w:ascii="Times New Roman" w:eastAsia="Times New Roman" w:hAnsi="Times New Roman" w:cs="Times New Roman"/>
              </w:rPr>
              <w:t xml:space="preserve"> i </w:t>
            </w:r>
            <w:r w:rsidR="00684F6C">
              <w:rPr>
                <w:rFonts w:ascii="Times New Roman" w:eastAsia="Times New Roman" w:hAnsi="Times New Roman" w:cs="Times New Roman"/>
              </w:rPr>
              <w:t>uszczupleń</w:t>
            </w:r>
            <w:r w:rsidR="00B80155">
              <w:rPr>
                <w:rFonts w:ascii="Times New Roman" w:eastAsia="Times New Roman" w:hAnsi="Times New Roman" w:cs="Times New Roman"/>
              </w:rPr>
              <w:t xml:space="preserve"> podatk</w:t>
            </w:r>
            <w:r w:rsidR="00684F6C">
              <w:rPr>
                <w:rFonts w:ascii="Times New Roman" w:eastAsia="Times New Roman" w:hAnsi="Times New Roman" w:cs="Times New Roman"/>
              </w:rPr>
              <w:t>owych</w:t>
            </w:r>
            <w:r w:rsidR="00B80155">
              <w:rPr>
                <w:rFonts w:ascii="Times New Roman" w:eastAsia="Times New Roman" w:hAnsi="Times New Roman" w:cs="Times New Roman"/>
              </w:rPr>
              <w:t>.</w:t>
            </w:r>
            <w:r w:rsidR="0044405B" w:rsidRPr="0044405B">
              <w:rPr>
                <w:rFonts w:ascii="Times New Roman" w:eastAsia="Times New Roman" w:hAnsi="Times New Roman" w:cs="Times New Roman"/>
              </w:rPr>
              <w:t xml:space="preserve"> </w:t>
            </w:r>
            <w:r w:rsidR="00684F6C">
              <w:rPr>
                <w:rFonts w:ascii="Times New Roman" w:eastAsia="Times New Roman" w:hAnsi="Times New Roman" w:cs="Times New Roman"/>
              </w:rPr>
              <w:t xml:space="preserve">Systemem </w:t>
            </w:r>
            <w:r w:rsidR="00684F6C">
              <w:rPr>
                <w:rFonts w:ascii="Times New Roman" w:hAnsi="Times New Roman" w:cs="Times New Roman"/>
              </w:rPr>
              <w:t>monitorowania</w:t>
            </w:r>
            <w:r w:rsidR="0044405B">
              <w:rPr>
                <w:rFonts w:ascii="Times New Roman" w:hAnsi="Times New Roman" w:cs="Times New Roman"/>
              </w:rPr>
              <w:t xml:space="preserve"> </w:t>
            </w:r>
            <w:r w:rsidR="0044405B" w:rsidRPr="00E90A48">
              <w:rPr>
                <w:rFonts w:ascii="Times New Roman" w:hAnsi="Times New Roman" w:cs="Times New Roman"/>
              </w:rPr>
              <w:t>będą objęte, m.in. paliwa silnikowe i pochodne, oleje smarowe, oleje roślinne, które mogą być wykorzystane jako dodatki do paliw silnikowych, odmrażacze na bazie alkoholu etylowego, rozcieńczalniki i rozpuszczalniki, alkohol etylowy całkowicie skażony i susz tytoniowy.</w:t>
            </w:r>
          </w:p>
          <w:p w:rsidR="00F3255A" w:rsidRDefault="00E16B02" w:rsidP="008017B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danych o realizacji u</w:t>
            </w:r>
            <w:r w:rsidR="00F32199">
              <w:rPr>
                <w:rFonts w:ascii="Times New Roman" w:eastAsia="Times New Roman" w:hAnsi="Times New Roman" w:cs="Times New Roman"/>
              </w:rPr>
              <w:t>stawy budżetowej za lata 2009–</w:t>
            </w:r>
            <w:r>
              <w:rPr>
                <w:rFonts w:ascii="Times New Roman" w:eastAsia="Times New Roman" w:hAnsi="Times New Roman" w:cs="Times New Roman"/>
              </w:rPr>
              <w:t>2015 wynika relatywnie niska dynami</w:t>
            </w:r>
            <w:r w:rsidR="000968B0">
              <w:rPr>
                <w:rFonts w:ascii="Times New Roman" w:eastAsia="Times New Roman" w:hAnsi="Times New Roman" w:cs="Times New Roman"/>
              </w:rPr>
              <w:t>ka</w:t>
            </w:r>
            <w:r>
              <w:rPr>
                <w:rFonts w:ascii="Times New Roman" w:eastAsia="Times New Roman" w:hAnsi="Times New Roman" w:cs="Times New Roman"/>
              </w:rPr>
              <w:t xml:space="preserve"> wzrost</w:t>
            </w:r>
            <w:r w:rsidR="000968B0">
              <w:rPr>
                <w:rFonts w:ascii="Times New Roman" w:eastAsia="Times New Roman" w:hAnsi="Times New Roman" w:cs="Times New Roman"/>
              </w:rPr>
              <w:t>u do</w:t>
            </w:r>
            <w:r>
              <w:rPr>
                <w:rFonts w:ascii="Times New Roman" w:eastAsia="Times New Roman" w:hAnsi="Times New Roman" w:cs="Times New Roman"/>
              </w:rPr>
              <w:t>chodów z</w:t>
            </w:r>
            <w:r w:rsidR="00354E3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podatku </w:t>
            </w:r>
            <w:r w:rsidR="00A36D62" w:rsidRPr="00A36D62">
              <w:rPr>
                <w:rFonts w:ascii="Times New Roman" w:eastAsia="Times New Roman" w:hAnsi="Times New Roman" w:cs="Times New Roman"/>
              </w:rPr>
              <w:t>od towarów i usług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017B8" w:rsidRPr="008017B8" w:rsidRDefault="00F32199" w:rsidP="00D04B8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Zważywszy realizowane w Polsce tempo rozwoju ekonomicznego, którego przykładem, na podstawie analizy danych Głównego Urzędu Statystycznego, może być krajowa branża transportu drogowego,</w:t>
            </w:r>
            <w:r w:rsidR="00684F6C">
              <w:rPr>
                <w:rFonts w:ascii="Times New Roman" w:eastAsia="Times New Roman" w:hAnsi="Times New Roman" w:cs="Times New Roman"/>
              </w:rPr>
              <w:t xml:space="preserve"> jak też uwzględniając założenia ustawy budżetowej na rok 2017,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255A">
              <w:rPr>
                <w:rFonts w:ascii="Times New Roman" w:eastAsia="Times New Roman" w:hAnsi="Times New Roman" w:cs="Times New Roman"/>
              </w:rPr>
              <w:t>za</w:t>
            </w:r>
            <w:r w:rsidR="00092FE5">
              <w:rPr>
                <w:rFonts w:ascii="Times New Roman" w:eastAsia="Times New Roman" w:hAnsi="Times New Roman" w:cs="Times New Roman"/>
              </w:rPr>
              <w:t xml:space="preserve"> zasadną</w:t>
            </w:r>
            <w:r w:rsidR="00F3255A">
              <w:rPr>
                <w:rFonts w:ascii="Times New Roman" w:eastAsia="Times New Roman" w:hAnsi="Times New Roman" w:cs="Times New Roman"/>
              </w:rPr>
              <w:t xml:space="preserve"> uznano potrzebę</w:t>
            </w:r>
            <w:r w:rsidR="00092FE5">
              <w:rPr>
                <w:rFonts w:ascii="Times New Roman" w:eastAsia="Times New Roman" w:hAnsi="Times New Roman" w:cs="Times New Roman"/>
              </w:rPr>
              <w:t xml:space="preserve"> przywrócenia korelacji pomiędzy tempem rozwoju a</w:t>
            </w:r>
            <w:r w:rsidR="00354E34">
              <w:rPr>
                <w:rFonts w:ascii="Times New Roman" w:eastAsia="Times New Roman" w:hAnsi="Times New Roman" w:cs="Times New Roman"/>
              </w:rPr>
              <w:t> </w:t>
            </w:r>
            <w:r w:rsidR="00092FE5">
              <w:rPr>
                <w:rFonts w:ascii="Times New Roman" w:eastAsia="Times New Roman" w:hAnsi="Times New Roman" w:cs="Times New Roman"/>
              </w:rPr>
              <w:t>tempem</w:t>
            </w:r>
            <w:r w:rsidR="00F3255A">
              <w:rPr>
                <w:rFonts w:ascii="Times New Roman" w:eastAsia="Times New Roman" w:hAnsi="Times New Roman" w:cs="Times New Roman"/>
              </w:rPr>
              <w:t xml:space="preserve"> wpływów </w:t>
            </w:r>
            <w:r w:rsidR="00F3255A" w:rsidRPr="00F3255A">
              <w:rPr>
                <w:rFonts w:ascii="Times New Roman" w:eastAsia="Times New Roman" w:hAnsi="Times New Roman" w:cs="Times New Roman"/>
              </w:rPr>
              <w:t>z tytułu podatku od towarów i usług</w:t>
            </w:r>
            <w:r w:rsidR="00684F6C">
              <w:rPr>
                <w:rFonts w:ascii="Times New Roman" w:eastAsia="Times New Roman" w:hAnsi="Times New Roman" w:cs="Times New Roman"/>
              </w:rPr>
              <w:t>. Cel taki zakłada się do realizacji po skokowym podniesieniu tempa wzrostu dochodów budżetowych w wyniku zwiększenia efektywności poboru podatków pośrednich oraz w</w:t>
            </w:r>
            <w:r w:rsidR="008F074C">
              <w:rPr>
                <w:rFonts w:ascii="Times New Roman" w:eastAsia="Times New Roman" w:hAnsi="Times New Roman" w:cs="Times New Roman"/>
              </w:rPr>
              <w:t>alki z</w:t>
            </w:r>
            <w:r w:rsidR="00D04B85">
              <w:rPr>
                <w:rFonts w:ascii="Times New Roman" w:eastAsia="Times New Roman" w:hAnsi="Times New Roman" w:cs="Times New Roman"/>
              </w:rPr>
              <w:t> </w:t>
            </w:r>
            <w:r w:rsidR="008F074C">
              <w:rPr>
                <w:rFonts w:ascii="Times New Roman" w:eastAsia="Times New Roman" w:hAnsi="Times New Roman" w:cs="Times New Roman"/>
              </w:rPr>
              <w:t>szarą strefą w roku 2017 i w latach następnych.</w:t>
            </w:r>
          </w:p>
        </w:tc>
      </w:tr>
      <w:tr w:rsidR="00385568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99CCFF"/>
            <w:vAlign w:val="center"/>
          </w:tcPr>
          <w:p w:rsidR="00385568" w:rsidRPr="00DD79F7" w:rsidRDefault="00385568" w:rsidP="00E96EF7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  <w:t>Rekomendowane rozwiązanie, w tym planowane narzędzia interwencji, i oczekiwany efekt</w:t>
            </w:r>
          </w:p>
        </w:tc>
      </w:tr>
      <w:tr w:rsidR="00385568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auto"/>
          </w:tcPr>
          <w:p w:rsidR="008017B8" w:rsidRDefault="0017785E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lastRenderedPageBreak/>
              <w:t xml:space="preserve">Rekomendowane jest objęcie monitorowaniem drogowego przewozu towarów, </w:t>
            </w:r>
            <w:r w:rsidR="009A75A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zwłaszcza tych, w stosunku do których stwierdzono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nieprawidłowości w rozliczen</w:t>
            </w:r>
            <w:r w:rsidR="009A75A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iach z tytułu podatku </w:t>
            </w:r>
            <w:r w:rsidR="00F45EEE" w:rsidRP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od towarów i usług </w:t>
            </w:r>
            <w:r w:rsidR="009A75A1">
              <w:rPr>
                <w:rFonts w:ascii="Times New Roman" w:eastAsia="Calibri" w:hAnsi="Times New Roman" w:cs="Times New Roman"/>
                <w:spacing w:val="-2"/>
                <w:lang w:eastAsia="en-US"/>
              </w:rPr>
              <w:t>lub akcyzowego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(uszczuplenia podatkowe).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F45EEE" w:rsidRPr="00F45EEE">
              <w:rPr>
                <w:rFonts w:ascii="Times New Roman" w:eastAsia="Times New Roman" w:hAnsi="Times New Roman" w:cs="Times New Roman"/>
              </w:rPr>
              <w:t>W konsekwencji wcześniejszych działań obejmujących</w:t>
            </w:r>
            <w:r w:rsidR="008F074C">
              <w:rPr>
                <w:rFonts w:ascii="Times New Roman" w:eastAsia="Times New Roman" w:hAnsi="Times New Roman" w:cs="Times New Roman"/>
              </w:rPr>
              <w:t>,</w:t>
            </w:r>
            <w:r w:rsidR="00F45EEE" w:rsidRPr="00F45EEE">
              <w:rPr>
                <w:rFonts w:ascii="Times New Roman" w:eastAsia="Times New Roman" w:hAnsi="Times New Roman" w:cs="Times New Roman"/>
              </w:rPr>
              <w:t xml:space="preserve"> m.in. zmianę przepisów o swobodzie działalności gospodarczej, wejście w życie tzw. „pakietu paliwowego” i „pakietu energetycznego”, procedowanie zmian przepisów podatkowych (ustawa o podatku od towarów i usług), przyjęto, że dla dalszego „uszczelniania” systemu podatkowego niezbędne jest wdrożenie nowych rozwiązań umożliwiających monitoring i kontrolę przewo</w:t>
            </w:r>
            <w:r w:rsidR="00A776E7">
              <w:rPr>
                <w:rFonts w:ascii="Times New Roman" w:eastAsia="Times New Roman" w:hAnsi="Times New Roman" w:cs="Times New Roman"/>
              </w:rPr>
              <w:t>zu drogowego niektórych towarów, tj. znaczące usprawnienie kontroli.</w:t>
            </w:r>
          </w:p>
          <w:p w:rsidR="004B63FE" w:rsidRDefault="002C0710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Wprowadzany system monitorowania polega na gromadzeniu, przetwarzaniu, analizow</w:t>
            </w:r>
            <w:r w:rsidR="00B21526">
              <w:rPr>
                <w:rFonts w:ascii="Times New Roman" w:eastAsia="Calibri" w:hAnsi="Times New Roman" w:cs="Times New Roman"/>
                <w:spacing w:val="-2"/>
                <w:lang w:eastAsia="en-US"/>
              </w:rPr>
              <w:t>aniu danych o przewozie towarów oraz</w:t>
            </w:r>
            <w:r>
              <w:t xml:space="preserve"> </w:t>
            </w:r>
            <w:r w:rsidRPr="002C0710">
              <w:rPr>
                <w:rFonts w:ascii="Times New Roman" w:eastAsia="Calibri" w:hAnsi="Times New Roman" w:cs="Times New Roman"/>
                <w:spacing w:val="-2"/>
                <w:lang w:eastAsia="en-US"/>
              </w:rPr>
              <w:t>kontroli wypełniania obowiązków wynikających z ustawy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. Wprowadza się elektroniczny rejestr nadzoru nad towarami wykorzystujący zwłaszcza lokalizator, tj. urządzenie </w:t>
            </w:r>
            <w:r w:rsidRPr="002C0710">
              <w:rPr>
                <w:rFonts w:ascii="Times New Roman" w:eastAsia="Calibri" w:hAnsi="Times New Roman" w:cs="Times New Roman"/>
                <w:spacing w:val="-2"/>
                <w:lang w:eastAsia="en-US"/>
              </w:rPr>
              <w:t>składające się z sys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temu łączności ruchomej oparte</w:t>
            </w:r>
            <w:r w:rsidRPr="002C0710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na stand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ardzie GSM-GPRS i pozycjonowaniu satelitarnym. </w:t>
            </w:r>
            <w:r w:rsidR="004B63FE">
              <w:rPr>
                <w:rFonts w:ascii="Times New Roman" w:eastAsia="Calibri" w:hAnsi="Times New Roman" w:cs="Times New Roman"/>
                <w:spacing w:val="-2"/>
                <w:lang w:eastAsia="en-US"/>
              </w:rPr>
              <w:t>E</w:t>
            </w:r>
            <w:r w:rsidR="004B63FE" w:rsidRPr="004B63FE">
              <w:rPr>
                <w:rFonts w:ascii="Times New Roman" w:eastAsia="Calibri" w:hAnsi="Times New Roman" w:cs="Times New Roman"/>
                <w:spacing w:val="-2"/>
                <w:lang w:eastAsia="en-US"/>
              </w:rPr>
              <w:t>lektroniczny rej</w:t>
            </w:r>
            <w:r w:rsidR="004B63FE">
              <w:rPr>
                <w:rFonts w:ascii="Times New Roman" w:eastAsia="Calibri" w:hAnsi="Times New Roman" w:cs="Times New Roman"/>
                <w:spacing w:val="-2"/>
                <w:lang w:eastAsia="en-US"/>
              </w:rPr>
              <w:t>estr nadzoru nad towarami służ</w:t>
            </w:r>
            <w:r w:rsidR="004B63FE" w:rsidRPr="004B63FE">
              <w:rPr>
                <w:rFonts w:ascii="Times New Roman" w:eastAsia="Calibri" w:hAnsi="Times New Roman" w:cs="Times New Roman"/>
                <w:spacing w:val="-2"/>
                <w:lang w:eastAsia="en-US"/>
              </w:rPr>
              <w:t>y do przesyłania zgłoszeń przewozu towarów, raportu zakończenia przewozu towarów, unieważnienia i aktualizacji zgłoszenia przewozu towarów oraz gromadzenia danych z lokalizatora</w:t>
            </w:r>
            <w:r w:rsid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4B63FE" w:rsidRDefault="004B63FE" w:rsidP="00F876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Zgodnie z ustawą,</w:t>
            </w:r>
            <w:r w:rsidR="002C0710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 zależności od miejsca rozpoczęcia przewozu t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ych towarów na terytorium kraju,</w:t>
            </w:r>
            <w:r w:rsidR="002C0710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w</w:t>
            </w:r>
            <w:r w:rsidR="002C0710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swoim zakresie zgłoszenia stosownych danych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dokonują:</w:t>
            </w:r>
          </w:p>
          <w:p w:rsidR="004B63FE" w:rsidRDefault="004B63FE" w:rsidP="00F876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- podmiot wysyłający,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w</w:t>
            </w:r>
            <w:r w:rsidRPr="004B63F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przypadku przewozu towarów rozpoczynającego się na terytorium kraju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, </w:t>
            </w:r>
          </w:p>
          <w:p w:rsidR="002C0710" w:rsidRDefault="004B63FE" w:rsidP="00F876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- podmiot odbierający, w</w:t>
            </w:r>
            <w:r w:rsidRPr="004B63F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przypadku przewozu towarów z państwa członkowskiego albo z państwa trzeciego na terytorium kraju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</w:p>
          <w:p w:rsidR="004B63FE" w:rsidRDefault="004B63FE" w:rsidP="00F876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- kierujący środkiem transportu, w</w:t>
            </w:r>
            <w:r w:rsidRPr="004B63F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przypadku przewozu towarów z jednego państwa członkowskiego do drugiego państwa członkowskiego albo państwa trzeciego</w:t>
            </w:r>
            <w:r w:rsid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(tranzyt)</w:t>
            </w:r>
            <w:r w:rsidR="00F876C6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4C53A8" w:rsidRDefault="004C53A8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Aktualizacja danych zawartych w zgłoszeniu przewozu towarów dotyczy w</w:t>
            </w:r>
            <w:r w:rsid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>szystkich podmiotów odpowiednio.</w:t>
            </w:r>
            <w:r w:rsidR="008953A9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Za brak aktualizacji danych przewidzi</w:t>
            </w:r>
            <w:r w:rsidR="006A5A74">
              <w:rPr>
                <w:rFonts w:ascii="Times New Roman" w:eastAsia="Calibri" w:hAnsi="Times New Roman" w:cs="Times New Roman"/>
                <w:spacing w:val="-2"/>
                <w:lang w:eastAsia="en-US"/>
              </w:rPr>
              <w:t>ano karę pieniężną w wysokości 10</w:t>
            </w:r>
            <w:r w:rsidR="00B16C93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F876C6">
              <w:rPr>
                <w:rFonts w:ascii="Times New Roman" w:eastAsia="Calibri" w:hAnsi="Times New Roman" w:cs="Times New Roman"/>
                <w:spacing w:val="-2"/>
                <w:lang w:eastAsia="en-US"/>
              </w:rPr>
              <w:t>000 zł</w:t>
            </w:r>
            <w:r w:rsidR="008953A9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4C53A8" w:rsidRDefault="004C53A8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Aby 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w trakcie prowadzonych działań kontrolnych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zapewnić płynność i b</w:t>
            </w:r>
            <w:r w:rsidR="00856E2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ezpieczeństwo prowadzonych 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drogowych </w:t>
            </w:r>
            <w:r w:rsidR="00856E2D">
              <w:rPr>
                <w:rFonts w:ascii="Times New Roman" w:eastAsia="Calibri" w:hAnsi="Times New Roman" w:cs="Times New Roman"/>
                <w:spacing w:val="-2"/>
                <w:lang w:eastAsia="en-US"/>
              </w:rPr>
              <w:t>przewozów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towarowych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na teryt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orium kraju, w ustawie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przewidziano 10</w:t>
            </w:r>
            <w:r w:rsidR="00F876C6">
              <w:rPr>
                <w:rFonts w:ascii="Times New Roman" w:eastAsia="Calibri" w:hAnsi="Times New Roman" w:cs="Times New Roman"/>
                <w:spacing w:val="-2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dniowy </w:t>
            </w:r>
            <w:r w:rsidR="00856E2D">
              <w:rPr>
                <w:rFonts w:ascii="Times New Roman" w:eastAsia="Calibri" w:hAnsi="Times New Roman" w:cs="Times New Roman"/>
                <w:spacing w:val="-2"/>
                <w:lang w:eastAsia="en-US"/>
              </w:rPr>
              <w:t>okres ważności numeru referencyjnego nadawanego w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rejestrze, będącego kluczowym elementem legalnego przewozu oraz prowadzonego monitor</w:t>
            </w:r>
            <w:r w:rsidR="00F876C6">
              <w:rPr>
                <w:rFonts w:ascii="Times New Roman" w:eastAsia="Calibri" w:hAnsi="Times New Roman" w:cs="Times New Roman"/>
                <w:spacing w:val="-2"/>
                <w:lang w:eastAsia="en-US"/>
              </w:rPr>
              <w:t>owania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E0469E" w:rsidRDefault="00E0469E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Dostarczenie na rynek oraz serwis lokalizatorów zostaną zapewnione przez podmiot wyłoniony w trybie przepisów o</w:t>
            </w:r>
            <w:r w:rsidR="00296286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zamówieniach publicznych</w:t>
            </w:r>
            <w:r w:rsid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>, a</w:t>
            </w:r>
            <w:r w:rsidR="00466E18">
              <w:t xml:space="preserve"> i</w:t>
            </w:r>
            <w:r w:rsidR="00466E18" w:rsidRP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>nformacja o wykazie punktów</w:t>
            </w:r>
            <w:r w:rsid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dystrybucji lokalizatorów będzie 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>szeroko dostępna, w</w:t>
            </w:r>
            <w:r w:rsidR="00296286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również będzie </w:t>
            </w:r>
            <w:r w:rsidR="00466E18" w:rsidRPr="00F45EEE">
              <w:rPr>
                <w:rFonts w:ascii="Times New Roman" w:eastAsia="Calibri" w:hAnsi="Times New Roman" w:cs="Times New Roman"/>
                <w:spacing w:val="-2"/>
                <w:lang w:eastAsia="en-US"/>
              </w:rPr>
              <w:t>udostępniana przez stronę internetową</w:t>
            </w:r>
            <w:r w:rsidR="00466E18" w:rsidRP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ministra</w:t>
            </w:r>
            <w:r w:rsid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296286">
              <w:rPr>
                <w:rFonts w:ascii="Times New Roman" w:eastAsia="Calibri" w:hAnsi="Times New Roman" w:cs="Times New Roman"/>
                <w:spacing w:val="-2"/>
                <w:lang w:eastAsia="en-US"/>
              </w:rPr>
              <w:t>właściwego do spraw finansów publicznych</w:t>
            </w:r>
            <w:r w:rsidR="00466E18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1929B3" w:rsidRDefault="001929B3" w:rsidP="00DF392A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1929B3">
              <w:rPr>
                <w:rFonts w:ascii="Times New Roman" w:eastAsia="Calibri" w:hAnsi="Times New Roman" w:cs="Times New Roman"/>
                <w:spacing w:val="-2"/>
                <w:lang w:eastAsia="en-US"/>
              </w:rPr>
              <w:t>Podmiotami uprawnionymi do korzystania z danych zgromadzonych w rejestrze oraz ich przetwarzania za pomocą u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rządzeń telekomunikacyjnych są organy </w:t>
            </w:r>
            <w:r w:rsidR="008F074C">
              <w:rPr>
                <w:rFonts w:ascii="Times New Roman" w:eastAsia="Calibri" w:hAnsi="Times New Roman" w:cs="Times New Roman"/>
                <w:spacing w:val="-2"/>
                <w:lang w:eastAsia="en-US"/>
              </w:rPr>
              <w:t>KAS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, </w:t>
            </w:r>
            <w:r w:rsidRPr="001929B3">
              <w:rPr>
                <w:rFonts w:ascii="Times New Roman" w:eastAsia="Calibri" w:hAnsi="Times New Roman" w:cs="Times New Roman"/>
                <w:spacing w:val="-2"/>
                <w:lang w:eastAsia="en-US"/>
              </w:rPr>
              <w:t>funkcjonariusze Policji w celu wykonyw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ania kontroli przewozu towarów oraz </w:t>
            </w:r>
            <w:r w:rsidRPr="001929B3">
              <w:rPr>
                <w:rFonts w:ascii="Times New Roman" w:eastAsia="Calibri" w:hAnsi="Times New Roman" w:cs="Times New Roman"/>
                <w:spacing w:val="-2"/>
                <w:lang w:eastAsia="en-US"/>
              </w:rPr>
              <w:t>funkcjonariusze Straży Granicznej w celu wykonywania kontroli przewozu towarów.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DF392A">
              <w:rPr>
                <w:rFonts w:ascii="Times New Roman" w:eastAsia="Calibri" w:hAnsi="Times New Roman" w:cs="Times New Roman"/>
                <w:spacing w:val="-2"/>
                <w:lang w:eastAsia="en-US"/>
              </w:rPr>
              <w:t>Ustawa przewiduje również dostęp (na wniosek, nieodpłatnie) do danych zgromadzonych w rejestrze dla</w:t>
            </w:r>
            <w:r w:rsidR="00DF392A">
              <w:t xml:space="preserve"> </w:t>
            </w:r>
            <w:r w:rsidR="00DF392A" w:rsidRPr="00DF392A">
              <w:rPr>
                <w:rFonts w:ascii="Times New Roman" w:eastAsia="Calibri" w:hAnsi="Times New Roman" w:cs="Times New Roman"/>
                <w:spacing w:val="-2"/>
                <w:lang w:eastAsia="en-US"/>
              </w:rPr>
              <w:t>Agenc</w:t>
            </w:r>
            <w:r w:rsidR="00DF392A">
              <w:rPr>
                <w:rFonts w:ascii="Times New Roman" w:eastAsia="Calibri" w:hAnsi="Times New Roman" w:cs="Times New Roman"/>
                <w:spacing w:val="-2"/>
                <w:lang w:eastAsia="en-US"/>
              </w:rPr>
              <w:t>ji Bezpieczeństwa Wewnętrznego, Agencji Wywiadu, Centralnego Biura Antykorupcyjnego, Policji, Inspekcji Transportu Drogowego, Straży Granicznej, Służby Wywiadu Wojskowego oraz Służby</w:t>
            </w:r>
            <w:r w:rsidR="00D419DF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K</w:t>
            </w:r>
            <w:r w:rsidR="008F074C">
              <w:rPr>
                <w:rFonts w:ascii="Times New Roman" w:eastAsia="Calibri" w:hAnsi="Times New Roman" w:cs="Times New Roman"/>
                <w:spacing w:val="-2"/>
                <w:lang w:eastAsia="en-US"/>
              </w:rPr>
              <w:t>ontrwywiadu Wojskowego</w:t>
            </w:r>
            <w:r w:rsidR="00D419DF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  <w:p w:rsidR="008017B8" w:rsidRDefault="00763828" w:rsidP="00713B9E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Dzięki monitorowaniu drogowego przewozu towarów możliwa będzie k</w:t>
            </w:r>
            <w:r w:rsidRPr="00763828">
              <w:rPr>
                <w:rFonts w:ascii="Times New Roman" w:eastAsia="Calibri" w:hAnsi="Times New Roman" w:cs="Times New Roman"/>
                <w:spacing w:val="-2"/>
                <w:lang w:eastAsia="en-US"/>
              </w:rPr>
              <w:t>ontrola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ich</w:t>
            </w:r>
            <w:r w:rsidRPr="0076382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zewozu, która</w:t>
            </w:r>
            <w:r w:rsidRPr="0076382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polega </w:t>
            </w:r>
            <w:r w:rsidRPr="00763828">
              <w:rPr>
                <w:rFonts w:ascii="Times New Roman" w:eastAsia="Calibri" w:hAnsi="Times New Roman" w:cs="Times New Roman"/>
                <w:spacing w:val="-2"/>
                <w:lang w:eastAsia="en-US"/>
              </w:rPr>
              <w:t>na sprawdzeniu przestrzegania obowiązków podmiotu wysyłającego, podmiotu odbierającego oraz kierującego środkiem w zakresie dokonywania zgłoszenia przewozu towarów, uzupełniania zgłoszenia przewozu towarów oraz zainstalowania i</w:t>
            </w:r>
            <w:r w:rsidR="00D04B85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Pr="0076382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funkcjonowania lokalizatora, a także sprawdzeniu zgodności danych zawartych w </w:t>
            </w:r>
            <w:r w:rsidRPr="00763828">
              <w:rPr>
                <w:rFonts w:ascii="Times New Roman" w:eastAsia="Calibri" w:hAnsi="Times New Roman" w:cs="Times New Roman"/>
                <w:spacing w:val="-2"/>
                <w:lang w:eastAsia="en-US"/>
              </w:rPr>
              <w:lastRenderedPageBreak/>
              <w:t>zgłoszeni</w:t>
            </w:r>
            <w:r w:rsid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>u przewozu z</w:t>
            </w:r>
            <w:r w:rsidR="00245516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e stanem faktycznym (art. 13). </w:t>
            </w:r>
            <w:r w:rsid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Jeżeli w trakcie kontroli </w:t>
            </w:r>
            <w:r w:rsidR="00713B9E" w:rsidRPr="00EE7907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zostaną stwierdzone </w:t>
            </w:r>
            <w:r w:rsidR="00EE7907">
              <w:rPr>
                <w:rFonts w:ascii="Times New Roman" w:eastAsia="Calibri" w:hAnsi="Times New Roman" w:cs="Times New Roman"/>
                <w:spacing w:val="-2"/>
                <w:lang w:eastAsia="en-US"/>
              </w:rPr>
              <w:t>przypadki uchybień przewidzianych w</w:t>
            </w:r>
            <w:r w:rsidR="006311CE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EE7907">
              <w:rPr>
                <w:rFonts w:ascii="Times New Roman" w:eastAsia="Calibri" w:hAnsi="Times New Roman" w:cs="Times New Roman"/>
                <w:spacing w:val="-2"/>
                <w:lang w:eastAsia="en-US"/>
              </w:rPr>
              <w:t>ustawie</w:t>
            </w:r>
            <w:r w:rsid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, </w:t>
            </w:r>
            <w:r w:rsidR="00713B9E" w:rsidRP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>na środek transportu mogą zostać nałożone zamknięcia urzędowe</w:t>
            </w:r>
            <w:r w:rsidR="00DA27B6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oraz pobór kaucji w wysokości 1000 zł</w:t>
            </w:r>
            <w:r w:rsidR="00713B9E" w:rsidRP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lub mogą zostać podjęte czynności zmierzające do skierowania albo usunięcia środka tra</w:t>
            </w:r>
            <w:r w:rsid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>nsportu do wyznaczonego miejsca (art.</w:t>
            </w:r>
            <w:r w:rsidR="006311C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>14).</w:t>
            </w:r>
          </w:p>
          <w:p w:rsidR="00713B9E" w:rsidRDefault="0081797E" w:rsidP="00713B9E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Z</w:t>
            </w:r>
            <w:r w:rsidR="00713B9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a niedokonanie zgłoszenia przewozu lub w przypadku stwierdzenia, </w:t>
            </w:r>
            <w:r w:rsidRPr="0081797E">
              <w:rPr>
                <w:rFonts w:ascii="Times New Roman" w:eastAsia="Calibri" w:hAnsi="Times New Roman" w:cs="Times New Roman"/>
                <w:spacing w:val="-2"/>
                <w:lang w:eastAsia="en-US"/>
              </w:rPr>
              <w:t>że towar nie odpowiada, co do rodzaju lub ilości wskazanemu w zgłoszeniu przewozu towarów, na podmiot wysyłający</w:t>
            </w:r>
            <w:r w:rsidR="008953A9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lub odpowiednio podmiot odbierający,</w:t>
            </w:r>
            <w:r w:rsidRPr="0081797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nakłada się karę pieniężną w wysokości 46% wartości netto towaru będącego rz</w:t>
            </w:r>
            <w:r w:rsidR="008953A9">
              <w:rPr>
                <w:rFonts w:ascii="Times New Roman" w:eastAsia="Calibri" w:hAnsi="Times New Roman" w:cs="Times New Roman"/>
                <w:spacing w:val="-2"/>
                <w:lang w:eastAsia="en-US"/>
              </w:rPr>
              <w:t>eczywistym przedmiotem przewozu (art.</w:t>
            </w:r>
            <w:r w:rsidR="006311C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8953A9">
              <w:rPr>
                <w:rFonts w:ascii="Times New Roman" w:eastAsia="Calibri" w:hAnsi="Times New Roman" w:cs="Times New Roman"/>
                <w:spacing w:val="-2"/>
                <w:lang w:eastAsia="en-US"/>
              </w:rPr>
              <w:t>16-17). Kary pieniężne nakładane na kierującego środkiem transportu, zależnie od kwalifika</w:t>
            </w:r>
            <w:r w:rsidR="00FC56E9">
              <w:rPr>
                <w:rFonts w:ascii="Times New Roman" w:eastAsia="Calibri" w:hAnsi="Times New Roman" w:cs="Times New Roman"/>
                <w:spacing w:val="-2"/>
                <w:lang w:eastAsia="en-US"/>
              </w:rPr>
              <w:t>cji, mieszczą się w granicach 1000-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br/>
            </w:r>
            <w:r w:rsidR="00FC56E9">
              <w:rPr>
                <w:rFonts w:ascii="Times New Roman" w:eastAsia="Calibri" w:hAnsi="Times New Roman" w:cs="Times New Roman"/>
                <w:spacing w:val="-2"/>
                <w:lang w:eastAsia="en-US"/>
              </w:rPr>
              <w:t>20</w:t>
            </w:r>
            <w:r w:rsidR="00D71200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8953A9">
              <w:rPr>
                <w:rFonts w:ascii="Times New Roman" w:eastAsia="Calibri" w:hAnsi="Times New Roman" w:cs="Times New Roman"/>
                <w:spacing w:val="-2"/>
                <w:lang w:eastAsia="en-US"/>
              </w:rPr>
              <w:t>000 zł. Karę pieniężną nakłada się w drodze administracyjnej</w:t>
            </w:r>
            <w:r w:rsidR="00B2447C">
              <w:rPr>
                <w:rFonts w:ascii="Times New Roman" w:eastAsia="Calibri" w:hAnsi="Times New Roman" w:cs="Times New Roman"/>
                <w:spacing w:val="-2"/>
                <w:lang w:eastAsia="en-US"/>
              </w:rPr>
              <w:t>, w przypadku kierującego środkiem transportu</w:t>
            </w:r>
            <w:r w:rsidR="00FC56E9">
              <w:rPr>
                <w:rFonts w:ascii="Times New Roman" w:eastAsia="Calibri" w:hAnsi="Times New Roman" w:cs="Times New Roman"/>
                <w:spacing w:val="-2"/>
                <w:lang w:eastAsia="en-US"/>
              </w:rPr>
              <w:t>, ze względu na uwarunkowania faktyczne mające miejsce w czasie prowadzon</w:t>
            </w:r>
            <w:r w:rsidR="00541561">
              <w:rPr>
                <w:rFonts w:ascii="Times New Roman" w:eastAsia="Calibri" w:hAnsi="Times New Roman" w:cs="Times New Roman"/>
                <w:spacing w:val="-2"/>
                <w:lang w:eastAsia="en-US"/>
              </w:rPr>
              <w:t>ej</w:t>
            </w:r>
            <w:r w:rsidR="00B2447C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FC56E9">
              <w:rPr>
                <w:rFonts w:ascii="Times New Roman" w:eastAsia="Calibri" w:hAnsi="Times New Roman" w:cs="Times New Roman"/>
                <w:spacing w:val="-2"/>
                <w:lang w:eastAsia="en-US"/>
              </w:rPr>
              <w:t>kontrol</w:t>
            </w:r>
            <w:r w:rsidR="00541561">
              <w:rPr>
                <w:rFonts w:ascii="Times New Roman" w:eastAsia="Calibri" w:hAnsi="Times New Roman" w:cs="Times New Roman"/>
                <w:spacing w:val="-2"/>
                <w:lang w:eastAsia="en-US"/>
              </w:rPr>
              <w:t>i</w:t>
            </w:r>
            <w:r w:rsidR="00FC56E9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B2447C">
              <w:rPr>
                <w:rFonts w:ascii="Times New Roman" w:eastAsia="Calibri" w:hAnsi="Times New Roman" w:cs="Times New Roman"/>
                <w:spacing w:val="-2"/>
                <w:lang w:eastAsia="en-US"/>
              </w:rPr>
              <w:t>stosuje się decyzję uproszczoną, która po niezwłocznym doręczeniu podlega natychmiastowemu wykonaniu.</w:t>
            </w:r>
            <w:r w:rsidR="005E578B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Kara pieniężna stanowi</w:t>
            </w:r>
            <w:r w:rsidR="006A5A74">
              <w:rPr>
                <w:rFonts w:ascii="Times New Roman" w:eastAsia="Calibri" w:hAnsi="Times New Roman" w:cs="Times New Roman"/>
                <w:spacing w:val="-2"/>
                <w:lang w:eastAsia="en-US"/>
              </w:rPr>
              <w:t>ą</w:t>
            </w:r>
            <w:r w:rsidR="005E578B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dochód budżetu państwa.</w:t>
            </w:r>
          </w:p>
          <w:p w:rsidR="006B19F5" w:rsidRPr="00A13D7F" w:rsidRDefault="00FA7E02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3A13C3"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t>Oczekiwane efekty: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dzięki bieżącej analizie danych zawartych w rejestrze, w tym pochodzących z lokalizatora</w:t>
            </w:r>
            <w:r w:rsidR="007B5B95">
              <w:t xml:space="preserve"> 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wskazaniom geolokalizacyjnym</w:t>
            </w:r>
            <w:r w:rsidR="003A13C3">
              <w:rPr>
                <w:rFonts w:ascii="Times New Roman" w:eastAsia="Calibri" w:hAnsi="Times New Roman" w:cs="Times New Roman"/>
                <w:spacing w:val="-2"/>
                <w:lang w:eastAsia="en-US"/>
              </w:rPr>
              <w:t>, możliwa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będzie 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efektywna kontrola </w:t>
            </w:r>
            <w:r w:rsidR="003A13C3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drogowego 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przewozu</w:t>
            </w:r>
            <w:r w:rsidR="003A13C3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towarów. Połączenie danych rejestrowych z danymi z prowadzonych</w:t>
            </w:r>
            <w:r w:rsid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przez organy KAS</w:t>
            </w:r>
            <w:r w:rsidR="00541561"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m.in.</w:t>
            </w:r>
            <w:r w:rsidR="003A13C3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systemów informatycznych czy </w:t>
            </w:r>
            <w:r w:rsidR="00AA23D9">
              <w:rPr>
                <w:rFonts w:ascii="Times New Roman" w:eastAsia="Calibri" w:hAnsi="Times New Roman" w:cs="Times New Roman"/>
                <w:spacing w:val="-2"/>
                <w:lang w:eastAsia="en-US"/>
              </w:rPr>
              <w:t>profili ryzyka</w:t>
            </w:r>
            <w:r w:rsidR="003A13C3"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  <w:r w:rsidR="00AA23D9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pozwoli na uszczelnienie systemu podatkowego w zakresie </w:t>
            </w:r>
            <w:r w:rsidR="003A13C3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dochodów z </w:t>
            </w:r>
            <w:r w:rsidR="00AA23D9">
              <w:rPr>
                <w:rFonts w:ascii="Times New Roman" w:eastAsia="Calibri" w:hAnsi="Times New Roman" w:cs="Times New Roman"/>
                <w:spacing w:val="-2"/>
                <w:lang w:eastAsia="en-US"/>
              </w:rPr>
              <w:t>obrotu towarami podlegają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cymi opodatkowaniu podatkiem od towarów i usług oraz</w:t>
            </w:r>
            <w:r w:rsidR="00AA23D9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podatkiem akcyzowym. Możliwe będzie również zwiększenie efektywności pracy mobilnych jednostek kontrolnych </w:t>
            </w:r>
            <w:r w:rsid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>organów KAS</w:t>
            </w:r>
            <w:r w:rsidR="00AA23D9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oraz wsparcie procesu przez inne służby kontrolne.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Wprowadzane rozwiązania mają na celu wyeliminowanie nieewidencjonowanego obro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t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u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towarami i wyrobami akcyzowymi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, a przez to wzmocnienie konkurencyjności i stabilności gospodarki.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Wzrośnie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bezpieczeństwo obywateli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 zakresie stosowania towarów, spadnie koszt społeczny wynikający z oszustw i niedoborów podatkowych, zmniejszeniu ulegnie potencjał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finansowania</w:t>
            </w:r>
            <w:r w:rsidR="00901FE7"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np.</w:t>
            </w:r>
            <w:r w:rsidR="00D04B85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7B5B95" w:rsidRP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>działalności przestępczej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za pomocą środków pochodzących z</w:t>
            </w:r>
            <w:r w:rsidR="00901FE7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7B5B9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nielegalnych </w:t>
            </w:r>
            <w:r w:rsidR="00705E0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źródeł. </w:t>
            </w:r>
            <w:r w:rsidR="00ED68FD"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>Integralną częścią wprowadzanego rozwiązania jest komplementarność ustawy i rozporządzenia w sprawie przewozu towarów, który nie podlega systemowi monitorowania</w:t>
            </w:r>
            <w:r w:rsidR="006B19F5"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  <w:r w:rsidR="00ED68FD"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stanowiącego wykonanie delegacji zawartej w art. 3 ust. 2 ustawy o systemie monitorowania drogowego przewozu towarów</w:t>
            </w:r>
            <w:r w:rsidR="006B19F5"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. Sposób i zakres działania wprowadzany ustawą, zastosowany do grup towarów nieobjętych wyłączeniem w rozporządzeniu, spowoduje łączny skutek finansowy oszacowany w tym opracowaniu. </w:t>
            </w:r>
          </w:p>
          <w:p w:rsidR="008017B8" w:rsidRDefault="003D7F28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>Dodatkowo, p</w:t>
            </w:r>
            <w:r w:rsidR="00B6675C"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>rzewidu</w:t>
            </w:r>
            <w:r w:rsidR="00901FE7"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>je się wzrost dochodów budżetu P</w:t>
            </w:r>
            <w:r w:rsidR="00B6675C"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aństwa z tytułu podatku </w:t>
            </w:r>
            <w:r w:rsidRPr="00A13D7F">
              <w:rPr>
                <w:rFonts w:ascii="Times New Roman" w:eastAsia="Calibri" w:hAnsi="Times New Roman" w:cs="Times New Roman"/>
                <w:spacing w:val="-2"/>
                <w:lang w:eastAsia="en-US"/>
              </w:rPr>
              <w:t>od towarów i usług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oraz podatku</w:t>
            </w:r>
            <w:r w:rsidR="00B6675C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akcyzowego z tytułu zmniejszenia liczby nieprawidłowości w obrocie niektórymi towarami. Średnia dynamika wzrostu dochodów z tytułu podatku akcyzo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wego w latach 2009-2</w:t>
            </w:r>
            <w:r w:rsidR="00B6675C">
              <w:rPr>
                <w:rFonts w:ascii="Times New Roman" w:eastAsia="Calibri" w:hAnsi="Times New Roman" w:cs="Times New Roman"/>
                <w:spacing w:val="-2"/>
                <w:lang w:eastAsia="en-US"/>
              </w:rPr>
              <w:t>015 wyniosła ok. 3%, z tendencj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ą do spowolnienia w latach 2014</w:t>
            </w:r>
            <w:r w:rsidR="00901FE7">
              <w:rPr>
                <w:rFonts w:ascii="Times New Roman" w:eastAsia="Calibri" w:hAnsi="Times New Roman" w:cs="Times New Roman"/>
                <w:spacing w:val="-2"/>
                <w:lang w:eastAsia="en-US"/>
              </w:rPr>
              <w:t>-</w:t>
            </w:r>
            <w:r w:rsidR="00B6675C">
              <w:rPr>
                <w:rFonts w:ascii="Times New Roman" w:eastAsia="Calibri" w:hAnsi="Times New Roman" w:cs="Times New Roman"/>
                <w:spacing w:val="-2"/>
                <w:lang w:eastAsia="en-US"/>
              </w:rPr>
              <w:t>2015 do ok. 2%. W perspektywie średniookresowej</w:t>
            </w:r>
            <w:r w:rsidR="003C4B81">
              <w:rPr>
                <w:rFonts w:ascii="Times New Roman" w:eastAsia="Calibri" w:hAnsi="Times New Roman" w:cs="Times New Roman"/>
                <w:spacing w:val="-2"/>
                <w:lang w:eastAsia="en-US"/>
              </w:rPr>
              <w:t>, w odniesieniu do grupy produktów nieobjętych wyłączeniem z</w:t>
            </w:r>
            <w:r w:rsidR="00D04B85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3C4B81">
              <w:rPr>
                <w:rFonts w:ascii="Times New Roman" w:eastAsia="Calibri" w:hAnsi="Times New Roman" w:cs="Times New Roman"/>
                <w:spacing w:val="-2"/>
                <w:lang w:eastAsia="en-US"/>
              </w:rPr>
              <w:t>systemu monitorowania drogowego przewozu towarów</w:t>
            </w:r>
            <w:r w:rsidR="00560DAC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, których łączny udział procentowy w strukturze podatku </w:t>
            </w:r>
            <w:r w:rsidRPr="003D7F28">
              <w:rPr>
                <w:rFonts w:ascii="Times New Roman" w:eastAsia="Calibri" w:hAnsi="Times New Roman" w:cs="Times New Roman"/>
                <w:spacing w:val="-2"/>
                <w:lang w:eastAsia="en-US"/>
              </w:rPr>
              <w:t>od towarów i us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ług</w:t>
            </w:r>
            <w:r w:rsidR="00790F0B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przekracza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>ł w latach ubiegłych</w:t>
            </w:r>
            <w:r w:rsidR="00790F0B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8</w:t>
            </w:r>
            <w:r w:rsidR="00560DAC">
              <w:rPr>
                <w:rFonts w:ascii="Times New Roman" w:eastAsia="Calibri" w:hAnsi="Times New Roman" w:cs="Times New Roman"/>
                <w:spacing w:val="-2"/>
                <w:lang w:eastAsia="en-US"/>
              </w:rPr>
              <w:t>0%</w:t>
            </w:r>
            <w:r w:rsidR="003C4B81"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  <w:r w:rsidR="00B6675C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korzystne byłoby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, jak wskazano wcześniej,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przywrócenie</w:t>
            </w:r>
            <w:r w:rsidRPr="003D7F2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korelacji pomiędzy tempem rozwoju a tempem wpływów 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podatkowych. Przywrócenie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znaczącego stopnia szczelności 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systemu podatkowego w roku 2017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winno znacząco przyczynić się do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wzrost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u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doch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odów budżetu państwa o ok.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11%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 stosunku do roku 2016, co narzucają założenia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ustawy budżetowej na rok 2017.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P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lanuje się 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także 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>podniesienie dotychczasowej dynamiki wzrostu dochodów z tytułu podatku od towarów i</w:t>
            </w:r>
            <w:r w:rsidR="00575FB7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3F281D">
              <w:rPr>
                <w:rFonts w:ascii="Times New Roman" w:eastAsia="Calibri" w:hAnsi="Times New Roman" w:cs="Times New Roman"/>
                <w:spacing w:val="-2"/>
                <w:lang w:eastAsia="en-US"/>
              </w:rPr>
              <w:t>usług</w:t>
            </w:r>
            <w:r w:rsidR="00790F0B"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  <w:r w:rsidR="00EB5BCC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3C4B81">
              <w:rPr>
                <w:rFonts w:ascii="Times New Roman" w:eastAsia="Calibri" w:hAnsi="Times New Roman" w:cs="Times New Roman"/>
                <w:spacing w:val="-2"/>
                <w:lang w:eastAsia="en-US"/>
              </w:rPr>
              <w:t>Wynik taki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mógłby zostać osiągnięty przez wzrost</w:t>
            </w:r>
            <w:r w:rsidR="003C4B8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legalnych </w:t>
            </w:r>
            <w:r w:rsidR="003C4B81">
              <w:rPr>
                <w:rFonts w:ascii="Times New Roman" w:eastAsia="Calibri" w:hAnsi="Times New Roman" w:cs="Times New Roman"/>
                <w:spacing w:val="-2"/>
                <w:lang w:eastAsia="en-US"/>
              </w:rPr>
              <w:t>obrotów tymi towarami w kolejnych latach w</w:t>
            </w:r>
            <w:r w:rsidR="00575FB7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3C4B8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warunkach efektywnej </w:t>
            </w:r>
            <w:r w:rsidR="003D3367">
              <w:rPr>
                <w:rFonts w:ascii="Times New Roman" w:eastAsia="Calibri" w:hAnsi="Times New Roman" w:cs="Times New Roman"/>
                <w:spacing w:val="-2"/>
                <w:lang w:eastAsia="en-US"/>
              </w:rPr>
              <w:t>kontroli ich drogowego przewozu.</w:t>
            </w:r>
            <w:r w:rsidR="00A71EC4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231D1F">
              <w:rPr>
                <w:rFonts w:ascii="Times New Roman" w:eastAsia="Calibri" w:hAnsi="Times New Roman" w:cs="Times New Roman"/>
                <w:spacing w:val="-2"/>
                <w:lang w:eastAsia="en-US"/>
              </w:rPr>
              <w:t>Należy</w:t>
            </w:r>
            <w:r w:rsidR="00D04B85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231D1F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pamiętać, że osiągnięcie zakładanego celu może zostać utrudnione przez czynniki zewnętrzne wpływające na obszary obejmowane regulacją, np. zmiana struktury przepływów towarowych – w ostatnich latach </w:t>
            </w:r>
            <w:r w:rsidR="006912FE">
              <w:rPr>
                <w:rFonts w:ascii="Times New Roman" w:eastAsia="Calibri" w:hAnsi="Times New Roman" w:cs="Times New Roman"/>
                <w:spacing w:val="-2"/>
                <w:lang w:eastAsia="en-US"/>
              </w:rPr>
              <w:lastRenderedPageBreak/>
              <w:t>zanotowano</w:t>
            </w:r>
            <w:r w:rsidR="00231D1F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231D1F" w:rsidRPr="003D7F2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spadek ruchu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ciężarowych pojazdów mechanicznych obsługiwanych przez Służbę Celną na granicy z Federacją Rosyjską, Republiką Białorusi i Ukrainą</w:t>
            </w:r>
            <w:r w:rsidR="006912FE">
              <w:rPr>
                <w:rFonts w:ascii="Times New Roman" w:eastAsia="Calibri" w:hAnsi="Times New Roman" w:cs="Times New Roman"/>
                <w:spacing w:val="-2"/>
                <w:lang w:eastAsia="en-US"/>
              </w:rPr>
              <w:t>, w roku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</w:t>
            </w:r>
            <w:r w:rsidR="006912FE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2015 o </w:t>
            </w:r>
            <w:r w:rsidR="00F96EC1">
              <w:rPr>
                <w:rFonts w:ascii="Times New Roman" w:eastAsia="Calibri" w:hAnsi="Times New Roman" w:cs="Times New Roman"/>
                <w:spacing w:val="-2"/>
                <w:lang w:eastAsia="en-US"/>
              </w:rPr>
              <w:t>15% w stosunku do roku poprzedniego.</w:t>
            </w:r>
            <w:r w:rsidR="00A93AB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Innym czynnikiem może być stopniowa zmiana struktury </w:t>
            </w:r>
            <w:r w:rsidR="00974B44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krajowego </w:t>
            </w:r>
            <w:r w:rsidR="00A93AB5">
              <w:rPr>
                <w:rFonts w:ascii="Times New Roman" w:eastAsia="Calibri" w:hAnsi="Times New Roman" w:cs="Times New Roman"/>
                <w:spacing w:val="-2"/>
                <w:lang w:eastAsia="en-US"/>
              </w:rPr>
              <w:t>rynku paliw</w:t>
            </w:r>
            <w:r w:rsidR="00974B44"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  <w:r w:rsidR="00A93AB5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zarówno w zakresie operatoró</w:t>
            </w:r>
            <w:r w:rsidR="00974B44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w rynku, jak też zużycia </w:t>
            </w:r>
            <w:r w:rsidR="00A93AB5">
              <w:rPr>
                <w:rFonts w:ascii="Times New Roman" w:eastAsia="Calibri" w:hAnsi="Times New Roman" w:cs="Times New Roman"/>
                <w:spacing w:val="-2"/>
                <w:lang w:eastAsia="en-US"/>
              </w:rPr>
              <w:t>paliw wg</w:t>
            </w:r>
            <w:r w:rsidR="00D04B85">
              <w:rPr>
                <w:rFonts w:ascii="Times New Roman" w:eastAsia="Calibri" w:hAnsi="Times New Roman" w:cs="Times New Roman"/>
                <w:spacing w:val="-2"/>
                <w:lang w:eastAsia="en-US"/>
              </w:rPr>
              <w:t> </w:t>
            </w:r>
            <w:r w:rsidR="00A93AB5">
              <w:rPr>
                <w:rFonts w:ascii="Times New Roman" w:eastAsia="Calibri" w:hAnsi="Times New Roman" w:cs="Times New Roman"/>
                <w:spacing w:val="-2"/>
                <w:lang w:eastAsia="en-US"/>
              </w:rPr>
              <w:t>rodzajów.</w:t>
            </w:r>
          </w:p>
          <w:p w:rsidR="00CB4FA8" w:rsidRDefault="00A179A9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Odrębną wartość dodaną w dochodach budżetu państwa będą stanowiły do</w:t>
            </w:r>
            <w:r w:rsidR="008F2DC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chody z kar </w:t>
            </w:r>
            <w:r w:rsidR="006A7525">
              <w:rPr>
                <w:rFonts w:ascii="Times New Roman" w:eastAsia="Calibri" w:hAnsi="Times New Roman" w:cs="Times New Roman"/>
                <w:spacing w:val="-2"/>
                <w:lang w:eastAsia="en-US"/>
              </w:rPr>
              <w:t>pieniężnych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. Z uwagi na zróżnicowany charakter wykrywanych nieprawidłowości i ich zmienną strukturę, niemożliwe jest jednak precyzyjne oszacowanie prz</w:t>
            </w:r>
            <w:r w:rsidR="00932D0D">
              <w:rPr>
                <w:rFonts w:ascii="Times New Roman" w:eastAsia="Calibri" w:hAnsi="Times New Roman" w:cs="Times New Roman"/>
                <w:spacing w:val="-2"/>
                <w:lang w:eastAsia="en-US"/>
              </w:rPr>
              <w:t>yszłych dochodów z tego tytułu.</w:t>
            </w:r>
          </w:p>
          <w:p w:rsidR="00662961" w:rsidRDefault="00662961" w:rsidP="00B843F8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N</w:t>
            </w:r>
            <w:r w:rsidRPr="00662961">
              <w:rPr>
                <w:rFonts w:ascii="Times New Roman" w:eastAsia="Calibri" w:hAnsi="Times New Roman" w:cs="Times New Roman"/>
                <w:spacing w:val="-2"/>
                <w:lang w:eastAsia="en-US"/>
              </w:rPr>
              <w:t>adto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,</w:t>
            </w:r>
            <w:r w:rsidRPr="0066296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zebrane przy stosowaniu projektowanej ustawy uwagi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oraz przewidziana na rok 2018 jej ewaluacja, </w:t>
            </w:r>
            <w:r w:rsidRPr="00662961">
              <w:rPr>
                <w:rFonts w:ascii="Times New Roman" w:eastAsia="Calibri" w:hAnsi="Times New Roman" w:cs="Times New Roman"/>
                <w:spacing w:val="-2"/>
                <w:lang w:eastAsia="en-US"/>
              </w:rPr>
              <w:t>pozwolą na lepsze zaprojektowanie systemu track&amp;trace, któr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ego wymóg</w:t>
            </w:r>
            <w:r w:rsidRPr="0066296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wdroż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enia</w:t>
            </w:r>
            <w:r w:rsidRPr="00662961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 2019 r. przy produkcji i przesyłaniu wyrobów tytoniowych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, </w:t>
            </w:r>
            <w:r w:rsidRPr="00662961">
              <w:rPr>
                <w:rFonts w:ascii="Times New Roman" w:eastAsia="Calibri" w:hAnsi="Times New Roman" w:cs="Times New Roman"/>
                <w:spacing w:val="-2"/>
                <w:lang w:eastAsia="en-US"/>
              </w:rPr>
              <w:t>wynika z unijnej Dyrektywy Tytoniowej.</w:t>
            </w:r>
          </w:p>
          <w:p w:rsidR="007E1A4E" w:rsidRPr="00DD79F7" w:rsidRDefault="00F2639F" w:rsidP="00F2639F">
            <w:pPr>
              <w:widowControl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F2639F">
              <w:rPr>
                <w:rFonts w:ascii="Times New Roman" w:eastAsia="Calibri" w:hAnsi="Times New Roman" w:cs="Times New Roman"/>
                <w:spacing w:val="-2"/>
                <w:lang w:eastAsia="en-US"/>
              </w:rPr>
              <w:t>Przepisy projektowanej ustawy są zgodne z prawem Unii Europejskiej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.</w:t>
            </w:r>
          </w:p>
        </w:tc>
      </w:tr>
      <w:tr w:rsidR="00385568" w:rsidRPr="00385568" w:rsidTr="00030232">
        <w:trPr>
          <w:trHeight w:val="307"/>
        </w:trPr>
        <w:tc>
          <w:tcPr>
            <w:tcW w:w="10692" w:type="dxa"/>
            <w:gridSpan w:val="27"/>
            <w:shd w:val="clear" w:color="auto" w:fill="99CCFF"/>
            <w:vAlign w:val="center"/>
          </w:tcPr>
          <w:p w:rsidR="00385568" w:rsidRPr="00DD79F7" w:rsidRDefault="00385568" w:rsidP="00E96EF7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spacing w:val="-2"/>
                <w:lang w:eastAsia="en-US"/>
              </w:rPr>
              <w:lastRenderedPageBreak/>
              <w:t>Jak problem został rozwiązany w innych krajach, w szczególności krajach członkowskich OECD/UE</w:t>
            </w: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?</w:t>
            </w:r>
            <w:r w:rsidRPr="00DD79F7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</w:t>
            </w:r>
          </w:p>
        </w:tc>
      </w:tr>
      <w:tr w:rsidR="00385568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auto"/>
          </w:tcPr>
          <w:p w:rsidR="00E911EC" w:rsidRDefault="00B6382B" w:rsidP="00801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B6382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Na Węgrzech od 1 stycznia 2015 r. funkcjonuje tzw. Elektroniczny Drogowy System Kontroli Drogowego Przewozu Towarowego (EKAER). W myśl obowiązujących przepisów transporty towarów zakupionych w Unii, dostawy wewnątrzwspólnotowe i pierwsza, podlegająca opodatkowaniu sprzedaż realizowane przez klientów niebędących ich ostatecznymi konsumentami może być realizowana jedynie przez podatników posiadających numer identyfikacyjny EKAER.</w:t>
            </w:r>
          </w:p>
          <w:p w:rsidR="00B6382B" w:rsidRDefault="00B6382B" w:rsidP="00801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  <w:p w:rsidR="008017B8" w:rsidRDefault="00B6382B" w:rsidP="00801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B6382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System kontroli przewozu towarów wdrożyła także Portugalia. Od 1 lipca 2013 r. wprowadzono nowe zasady transportowe dotyczące obowiązku powiadomienia portugalskiego urzędu podatkowego i celnego (</w:t>
            </w:r>
            <w:r w:rsidRPr="00B2644E">
              <w:rPr>
                <w:rFonts w:ascii="Times New Roman" w:eastAsia="Calibri" w:hAnsi="Times New Roman" w:cs="Times New Roman"/>
                <w:i/>
                <w:color w:val="000000"/>
                <w:spacing w:val="-2"/>
                <w:lang w:eastAsia="en-US"/>
              </w:rPr>
              <w:t>Autoridade Tributária e Aduaneira</w:t>
            </w:r>
            <w:r w:rsidRPr="00B6382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- AT) o wszelkich realizowanych przewozach towarów wraz z dostarczeniem szczegółowej informacji o ich załadunku.</w:t>
            </w:r>
          </w:p>
          <w:p w:rsidR="00B6382B" w:rsidRDefault="00B6382B" w:rsidP="00801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  <w:p w:rsidR="00B6382B" w:rsidRPr="00DD79F7" w:rsidRDefault="00B6382B" w:rsidP="00B1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B6382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W przypadku Niemiec obowiązek rejestracji przewozu dotyczy tranzytu kawy (palonej, zmielonej lub rozpuszczalnej – bez surowej) sprowadzanej z innego państwa członkowskiego Unii Europejskiej albo państwa trzeciego.</w:t>
            </w:r>
          </w:p>
        </w:tc>
      </w:tr>
      <w:tr w:rsidR="00385568" w:rsidRPr="00385568" w:rsidTr="00030232">
        <w:trPr>
          <w:trHeight w:val="359"/>
        </w:trPr>
        <w:tc>
          <w:tcPr>
            <w:tcW w:w="10692" w:type="dxa"/>
            <w:gridSpan w:val="27"/>
            <w:shd w:val="clear" w:color="auto" w:fill="99CCFF"/>
            <w:vAlign w:val="center"/>
          </w:tcPr>
          <w:p w:rsidR="00385568" w:rsidRPr="00DD79F7" w:rsidRDefault="00385568" w:rsidP="00E96EF7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Podmioty, na które oddziałuje projekt</w:t>
            </w:r>
          </w:p>
        </w:tc>
      </w:tr>
      <w:tr w:rsidR="00385568" w:rsidRPr="00385568" w:rsidTr="00030232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:rsidR="00385568" w:rsidRPr="00DD79F7" w:rsidRDefault="00385568" w:rsidP="00E96EF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85568" w:rsidRPr="00DD79F7" w:rsidRDefault="00385568" w:rsidP="00E96EF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385568" w:rsidRPr="00385568" w:rsidRDefault="00385568" w:rsidP="00E96EF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Źródło danych</w:t>
            </w:r>
            <w:r w:rsidRPr="00385568" w:rsidDel="00260F33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</w:p>
        </w:tc>
        <w:tc>
          <w:tcPr>
            <w:tcW w:w="2739" w:type="dxa"/>
            <w:gridSpan w:val="5"/>
            <w:shd w:val="clear" w:color="auto" w:fill="auto"/>
          </w:tcPr>
          <w:p w:rsidR="00385568" w:rsidRPr="00385568" w:rsidRDefault="00385568" w:rsidP="00E96EF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Oddziaływanie</w:t>
            </w:r>
          </w:p>
        </w:tc>
      </w:tr>
      <w:tr w:rsidR="00DE579D" w:rsidRPr="00385568" w:rsidTr="00030232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:rsidR="00DE579D" w:rsidRPr="00DD79F7" w:rsidRDefault="00DE579D" w:rsidP="00FB24B0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Krajowi przedsiębiorcy uprawnieni do przewozu rzeczy w UE, w tym: p</w:t>
            </w:r>
            <w:r w:rsidR="00FB24B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odmioty wysyłające oraz podmioty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dokonujące tranzytu przez terytorium RP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DE579D" w:rsidRPr="0009766A" w:rsidRDefault="00DE579D" w:rsidP="00DE579D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09766A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Ok. 29 000 podmiotów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="00DE579D" w:rsidRPr="00385568" w:rsidRDefault="00DE579D" w:rsidP="00DE579D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Raport Zrzeszenia Międzynarodowych Przewoźników w Polsce za rok 2013</w:t>
            </w:r>
          </w:p>
        </w:tc>
        <w:tc>
          <w:tcPr>
            <w:tcW w:w="2739" w:type="dxa"/>
            <w:gridSpan w:val="5"/>
            <w:shd w:val="clear" w:color="auto" w:fill="auto"/>
          </w:tcPr>
          <w:p w:rsidR="0009766A" w:rsidRPr="00385568" w:rsidRDefault="00DE579D" w:rsidP="00AB22C7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Obowiązki związane ze zgłoszeniem do rejestru i</w:t>
            </w:r>
            <w:r w:rsidR="00B2644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uzupełnianiem danych, zabezpieczenie możliwości lokalizacji przewozów; poszerzenie istniejących procedur wewnętrznych firm: lokalizacja, systemowa obsługa dokumentacji przewozów.</w:t>
            </w:r>
            <w:r w:rsidR="002E5622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="002E5622" w:rsidRPr="003D33D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Koszt pojedynczego urządzenia </w:t>
            </w:r>
            <w:r w:rsidR="00AB22C7" w:rsidRPr="003D33D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GPS z abonamentem miesięcznym 300-500 zł</w:t>
            </w:r>
            <w:r w:rsidR="005A24EA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.</w:t>
            </w:r>
          </w:p>
        </w:tc>
      </w:tr>
      <w:tr w:rsidR="0017785E" w:rsidRPr="00385568" w:rsidTr="00030232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:rsidR="0017785E" w:rsidRPr="00DD79F7" w:rsidRDefault="000F2FC5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lastRenderedPageBreak/>
              <w:t>Kierujący pojazdami zatrudnieni</w:t>
            </w:r>
            <w:r w:rsidR="004A0E8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na terytorium RP</w:t>
            </w:r>
            <w:r w:rsidR="003201D9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przez podmioty powyżej 9 osób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17785E" w:rsidRPr="00DD79F7" w:rsidRDefault="000F2FC5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153</w:t>
            </w:r>
            <w:r w:rsidR="00F1149F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000 osób</w:t>
            </w:r>
          </w:p>
        </w:tc>
        <w:tc>
          <w:tcPr>
            <w:tcW w:w="2996" w:type="dxa"/>
            <w:gridSpan w:val="11"/>
            <w:shd w:val="clear" w:color="auto" w:fill="auto"/>
            <w:vAlign w:val="center"/>
          </w:tcPr>
          <w:p w:rsidR="0017785E" w:rsidRPr="00385568" w:rsidRDefault="000F2FC5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Estymacja na podstawie danych GUS za lata 2005-2013</w:t>
            </w: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17785E" w:rsidRPr="00385568" w:rsidRDefault="00DE579D" w:rsidP="00F1149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E579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Obowiązki związane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z </w:t>
            </w:r>
            <w:r w:rsidRPr="00DE579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uzupełnianiem danych, zabezpieczenie możliwości lokalizacji przewozów</w:t>
            </w:r>
            <w:r w:rsidR="000B07D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.</w:t>
            </w:r>
          </w:p>
        </w:tc>
      </w:tr>
      <w:tr w:rsidR="003201D9" w:rsidRPr="00385568" w:rsidTr="00030232">
        <w:trPr>
          <w:trHeight w:val="142"/>
        </w:trPr>
        <w:tc>
          <w:tcPr>
            <w:tcW w:w="2665" w:type="dxa"/>
            <w:gridSpan w:val="3"/>
            <w:vMerge w:val="restart"/>
            <w:shd w:val="clear" w:color="auto" w:fill="auto"/>
          </w:tcPr>
          <w:p w:rsidR="003201D9" w:rsidRDefault="003201D9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Podmioty odbierające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3201D9" w:rsidRDefault="003201D9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9000 stacji paliw</w:t>
            </w:r>
          </w:p>
        </w:tc>
        <w:tc>
          <w:tcPr>
            <w:tcW w:w="2996" w:type="dxa"/>
            <w:gridSpan w:val="11"/>
            <w:shd w:val="clear" w:color="auto" w:fill="auto"/>
            <w:vAlign w:val="center"/>
          </w:tcPr>
          <w:p w:rsidR="003201D9" w:rsidRDefault="003201D9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Dane GUS za lata 2012-2013</w:t>
            </w:r>
          </w:p>
        </w:tc>
        <w:tc>
          <w:tcPr>
            <w:tcW w:w="2739" w:type="dxa"/>
            <w:gridSpan w:val="5"/>
            <w:vMerge w:val="restart"/>
            <w:shd w:val="clear" w:color="auto" w:fill="auto"/>
            <w:vAlign w:val="center"/>
          </w:tcPr>
          <w:p w:rsidR="003201D9" w:rsidRPr="00DE579D" w:rsidRDefault="003201D9" w:rsidP="004114F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3201D9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Obowiązki związane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z</w:t>
            </w:r>
            <w:r w:rsidRPr="003201D9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potwierdzeniem odbioru</w:t>
            </w:r>
            <w:r w:rsidRPr="003201D9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; 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zgłoszenia przewozu, uzyskanie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numer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u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referencyjny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dla tego zgłoszenia i przekazanie tego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numer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u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kierującemu środkiem transportu w przypadku przewozu towaru spoza terytorium RP; </w:t>
            </w:r>
            <w:r w:rsidRPr="003201D9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poszerzenie istniejących procedur wewnętrznych </w:t>
            </w:r>
            <w:r w:rsidR="004114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przedsiębiorców</w:t>
            </w:r>
            <w:r w:rsidRPr="003201D9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: lokalizacja, systemowa obsługa dokumentacji przewozów.</w:t>
            </w:r>
          </w:p>
        </w:tc>
      </w:tr>
      <w:tr w:rsidR="003201D9" w:rsidRPr="00385568" w:rsidTr="00030232">
        <w:trPr>
          <w:trHeight w:val="142"/>
        </w:trPr>
        <w:tc>
          <w:tcPr>
            <w:tcW w:w="2665" w:type="dxa"/>
            <w:gridSpan w:val="3"/>
            <w:vMerge/>
            <w:shd w:val="clear" w:color="auto" w:fill="auto"/>
          </w:tcPr>
          <w:p w:rsidR="003201D9" w:rsidRDefault="003201D9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3201D9" w:rsidRDefault="003201D9" w:rsidP="00096AA4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47 producentów wyrobów tytoniowych</w:t>
            </w:r>
          </w:p>
        </w:tc>
        <w:tc>
          <w:tcPr>
            <w:tcW w:w="2996" w:type="dxa"/>
            <w:gridSpan w:val="11"/>
            <w:vMerge w:val="restart"/>
            <w:shd w:val="clear" w:color="auto" w:fill="auto"/>
            <w:vAlign w:val="center"/>
          </w:tcPr>
          <w:p w:rsidR="003201D9" w:rsidRDefault="003201D9" w:rsidP="00F1149F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Rejestr Ministerstwa Rolnictwa i Rozwoju Wsi</w:t>
            </w:r>
          </w:p>
        </w:tc>
        <w:tc>
          <w:tcPr>
            <w:tcW w:w="2739" w:type="dxa"/>
            <w:gridSpan w:val="5"/>
            <w:vMerge/>
            <w:shd w:val="clear" w:color="auto" w:fill="auto"/>
            <w:vAlign w:val="center"/>
          </w:tcPr>
          <w:p w:rsidR="003201D9" w:rsidRPr="00DE579D" w:rsidRDefault="003201D9" w:rsidP="00DE579D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</w:tr>
      <w:tr w:rsidR="003201D9" w:rsidRPr="00385568" w:rsidTr="00030232">
        <w:trPr>
          <w:trHeight w:val="142"/>
        </w:trPr>
        <w:tc>
          <w:tcPr>
            <w:tcW w:w="2665" w:type="dxa"/>
            <w:gridSpan w:val="3"/>
            <w:vMerge/>
            <w:shd w:val="clear" w:color="auto" w:fill="auto"/>
          </w:tcPr>
          <w:p w:rsidR="003201D9" w:rsidRDefault="003201D9" w:rsidP="00096AA4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3201D9" w:rsidRDefault="003201D9" w:rsidP="00096AA4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556 podmiotów prowadzących działalność w zakresie wytwarzania i przerobu alkoholu etylowego, w tym 38 skażających alkohol</w:t>
            </w:r>
          </w:p>
        </w:tc>
        <w:tc>
          <w:tcPr>
            <w:tcW w:w="2996" w:type="dxa"/>
            <w:gridSpan w:val="11"/>
            <w:vMerge/>
            <w:shd w:val="clear" w:color="auto" w:fill="auto"/>
            <w:vAlign w:val="center"/>
          </w:tcPr>
          <w:p w:rsidR="003201D9" w:rsidRDefault="003201D9" w:rsidP="00096AA4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2739" w:type="dxa"/>
            <w:gridSpan w:val="5"/>
            <w:vMerge/>
            <w:shd w:val="clear" w:color="auto" w:fill="auto"/>
            <w:vAlign w:val="center"/>
          </w:tcPr>
          <w:p w:rsidR="003201D9" w:rsidRPr="00DE579D" w:rsidRDefault="003201D9" w:rsidP="00096AA4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</w:tr>
      <w:tr w:rsidR="00096AA4" w:rsidRPr="00385568" w:rsidTr="00030232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:rsidR="00096AA4" w:rsidRPr="00DD79F7" w:rsidRDefault="00096AA4" w:rsidP="00096AA4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Dostawcy/producenci lokalizatorów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096AA4" w:rsidRPr="00DD79F7" w:rsidRDefault="00732AE2" w:rsidP="00096AA4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  <w:vAlign w:val="center"/>
          </w:tcPr>
          <w:p w:rsidR="00096AA4" w:rsidRPr="00385568" w:rsidRDefault="00732AE2" w:rsidP="004114F7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Szacunki na podstawie zamówienia publicznego na realizację zadania</w:t>
            </w: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096AA4" w:rsidRPr="00385568" w:rsidRDefault="00732AE2" w:rsidP="00D04B8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Rozwojowe dla wyłonionego operatora i </w:t>
            </w:r>
            <w:r w:rsidR="004C008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podmiotów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współpracujących (ew. akredytacja, serwis, utylizacja)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; sprzedaż </w:t>
            </w:r>
            <w:r w:rsidR="008351F0" w:rsidRPr="00DC44B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35</w:t>
            </w:r>
            <w:r w:rsidR="004C008B" w:rsidRPr="00DC44B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 </w:t>
            </w:r>
            <w:r w:rsidR="008351F0" w:rsidRPr="00DC44B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0</w:t>
            </w:r>
            <w:r w:rsidR="00D30E85" w:rsidRPr="00DC44B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0</w:t>
            </w:r>
            <w:r w:rsidR="00A61170" w:rsidRPr="00DC44B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0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tys. zł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, sprzedaż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i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nfrastru</w:t>
            </w:r>
            <w:r w:rsidR="00DC44BE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-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ktury sprzętowej i</w:t>
            </w:r>
            <w:r w:rsidR="00D04B8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 </w:t>
            </w:r>
            <w:r w:rsidR="00A61170" w:rsidRPr="00A61170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licencji, oprogramowania.</w:t>
            </w:r>
          </w:p>
        </w:tc>
      </w:tr>
      <w:tr w:rsidR="00096AA4" w:rsidRPr="00385568" w:rsidTr="00030232">
        <w:trPr>
          <w:trHeight w:val="302"/>
        </w:trPr>
        <w:tc>
          <w:tcPr>
            <w:tcW w:w="10692" w:type="dxa"/>
            <w:gridSpan w:val="27"/>
            <w:shd w:val="clear" w:color="auto" w:fill="99CCFF"/>
            <w:vAlign w:val="center"/>
          </w:tcPr>
          <w:p w:rsidR="00096AA4" w:rsidRPr="00DD79F7" w:rsidRDefault="00096AA4" w:rsidP="00096AA4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Informacje na temat zakresu, czasu trwania i podsumowanie wyników konsultacji</w:t>
            </w:r>
          </w:p>
        </w:tc>
      </w:tr>
      <w:tr w:rsidR="00096AA4" w:rsidRPr="00385568" w:rsidTr="00030232">
        <w:trPr>
          <w:trHeight w:val="342"/>
        </w:trPr>
        <w:tc>
          <w:tcPr>
            <w:tcW w:w="10692" w:type="dxa"/>
            <w:gridSpan w:val="27"/>
            <w:shd w:val="clear" w:color="auto" w:fill="FFFFFF"/>
          </w:tcPr>
          <w:p w:rsidR="00096AA4" w:rsidRPr="004233A6" w:rsidRDefault="00096AA4" w:rsidP="004C008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4233A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Stosownie do postanowień § 52 ust. 1 uchwały Nr 190 Rady Ministrów z dnia 29 października 2013 r. – Regulamin pracy Rady Ministrów (M.</w:t>
            </w:r>
            <w:r w:rsidR="004C008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P</w:t>
            </w:r>
            <w:r w:rsidRPr="004233A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. </w:t>
            </w:r>
            <w:r w:rsidR="004C008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p</w:t>
            </w:r>
            <w:r w:rsidRPr="004233A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oz. 979</w:t>
            </w:r>
            <w:r w:rsidR="004C008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, z późn. zm.</w:t>
            </w:r>
            <w:r w:rsidRPr="004233A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) oraz art. 5 ustawy z dnia 7 lipca 2005 r. o działalności lobbingowej w procesie stanowienia prawa (Dz. U. Nr 169, poz. 1414, z późn. zm.), projekt ustawy zostanie udostępniony w</w:t>
            </w:r>
            <w:r w:rsidR="004C008B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 </w:t>
            </w:r>
            <w:r w:rsidRPr="004233A6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Biuletynie Informacji Publicznej na stronie Rządowego Centrum Legislacji (www.rcl.gov.pl) z chwilą przekazania go do uzgodnień z członkami Rady Ministrów. </w:t>
            </w:r>
          </w:p>
        </w:tc>
      </w:tr>
      <w:tr w:rsidR="00096AA4" w:rsidRPr="00385568" w:rsidTr="00030232">
        <w:trPr>
          <w:trHeight w:val="363"/>
        </w:trPr>
        <w:tc>
          <w:tcPr>
            <w:tcW w:w="10692" w:type="dxa"/>
            <w:gridSpan w:val="27"/>
            <w:shd w:val="clear" w:color="auto" w:fill="99CCFF"/>
            <w:vAlign w:val="center"/>
          </w:tcPr>
          <w:p w:rsidR="00096AA4" w:rsidRPr="00DD79F7" w:rsidRDefault="00096AA4" w:rsidP="00096AA4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Wpływ na sektor finansów publicznych</w:t>
            </w:r>
          </w:p>
        </w:tc>
      </w:tr>
      <w:tr w:rsidR="00096AA4" w:rsidRPr="00385568" w:rsidTr="00030232">
        <w:trPr>
          <w:trHeight w:val="142"/>
        </w:trPr>
        <w:tc>
          <w:tcPr>
            <w:tcW w:w="1977" w:type="dxa"/>
            <w:gridSpan w:val="2"/>
            <w:vMerge w:val="restart"/>
            <w:shd w:val="clear" w:color="auto" w:fill="FFFFFF"/>
          </w:tcPr>
          <w:p w:rsidR="00096AA4" w:rsidRPr="00DD79F7" w:rsidRDefault="00096AA4" w:rsidP="00096AA4">
            <w:pPr>
              <w:spacing w:before="40" w:after="40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(ceny stałe z …… r.)</w:t>
            </w:r>
          </w:p>
        </w:tc>
        <w:tc>
          <w:tcPr>
            <w:tcW w:w="8715" w:type="dxa"/>
            <w:gridSpan w:val="25"/>
            <w:shd w:val="clear" w:color="auto" w:fill="FFFFFF"/>
          </w:tcPr>
          <w:p w:rsidR="00096AA4" w:rsidRPr="00DD79F7" w:rsidRDefault="00096AA4" w:rsidP="00096AA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Skutki w okresie 10 lat od wejścia w życie zmian [mln zł]</w:t>
            </w:r>
          </w:p>
        </w:tc>
      </w:tr>
      <w:tr w:rsidR="00030232" w:rsidRPr="00385568" w:rsidTr="00030232">
        <w:trPr>
          <w:trHeight w:val="142"/>
        </w:trPr>
        <w:tc>
          <w:tcPr>
            <w:tcW w:w="1977" w:type="dxa"/>
            <w:gridSpan w:val="2"/>
            <w:vMerge/>
            <w:shd w:val="clear" w:color="auto" w:fill="FFFFFF"/>
          </w:tcPr>
          <w:p w:rsidR="00030232" w:rsidRPr="00DD79F7" w:rsidRDefault="00030232" w:rsidP="00096AA4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3C2825" w:rsidP="00096AA4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(0-9</w:t>
            </w:r>
            <w:r w:rsidR="00030232" w:rsidRPr="00385568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030232" w:rsidRPr="00385568" w:rsidTr="00030232">
        <w:trPr>
          <w:trHeight w:val="321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96A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154,4</w:t>
            </w: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584,5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1 025,3</w:t>
            </w: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7 662,6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14 995,6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15 580,2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16 181,9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16 833,6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C9062C">
            <w:pPr>
              <w:tabs>
                <w:tab w:val="center" w:pos="17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17 505,9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17 943,6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030232" w:rsidP="0009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6"/>
                <w:szCs w:val="16"/>
                <w:lang w:eastAsia="en-US"/>
              </w:rPr>
            </w:pPr>
            <w:r w:rsidRPr="00C9062C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6"/>
                <w:szCs w:val="16"/>
                <w:lang w:eastAsia="en-US"/>
              </w:rPr>
              <w:t>108 467,5</w:t>
            </w:r>
          </w:p>
        </w:tc>
      </w:tr>
      <w:tr w:rsidR="00030232" w:rsidRPr="00385568" w:rsidTr="00030232">
        <w:trPr>
          <w:trHeight w:val="321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154,4</w:t>
            </w:r>
          </w:p>
        </w:tc>
        <w:tc>
          <w:tcPr>
            <w:tcW w:w="567" w:type="dxa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584,5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1 025,3</w:t>
            </w:r>
          </w:p>
        </w:tc>
        <w:tc>
          <w:tcPr>
            <w:tcW w:w="712" w:type="dxa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7 662,6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14 995,6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15 580,2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16 181,9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16 833,6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030E1" w:rsidRDefault="00030232" w:rsidP="000030E1">
            <w:pPr>
              <w:tabs>
                <w:tab w:val="center" w:pos="17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17 505,9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17 943,6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  <w:lang w:eastAsia="en-US"/>
              </w:rPr>
              <w:t>108 467,5</w:t>
            </w:r>
          </w:p>
        </w:tc>
      </w:tr>
      <w:tr w:rsidR="00030232" w:rsidRPr="00385568" w:rsidTr="00030232">
        <w:trPr>
          <w:trHeight w:val="344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0232" w:rsidRPr="00385568" w:rsidTr="00030232">
        <w:trPr>
          <w:trHeight w:val="344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0232" w:rsidRPr="00385568" w:rsidTr="00030232">
        <w:trPr>
          <w:trHeight w:val="330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567" w:type="dxa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12" w:type="dxa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B223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AB2235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108,6</w:t>
            </w:r>
          </w:p>
        </w:tc>
      </w:tr>
      <w:tr w:rsidR="00030232" w:rsidRPr="00385568" w:rsidTr="00030232">
        <w:trPr>
          <w:trHeight w:val="330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10,8</w:t>
            </w:r>
          </w:p>
        </w:tc>
        <w:tc>
          <w:tcPr>
            <w:tcW w:w="567" w:type="dxa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20,2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12" w:type="dxa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108,6</w:t>
            </w:r>
          </w:p>
        </w:tc>
      </w:tr>
      <w:tr w:rsidR="00030232" w:rsidRPr="00385568" w:rsidTr="00030232">
        <w:trPr>
          <w:trHeight w:val="351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0232" w:rsidRPr="00385568" w:rsidTr="00030232">
        <w:trPr>
          <w:trHeight w:val="351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0232" w:rsidRPr="00385568" w:rsidTr="00030232">
        <w:trPr>
          <w:trHeight w:val="360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143,6</w:t>
            </w:r>
          </w:p>
        </w:tc>
        <w:tc>
          <w:tcPr>
            <w:tcW w:w="567" w:type="dxa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564,3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712" w:type="dxa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7 652,9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14 985,9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15 570,5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16 172,2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16 823,9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17 496,2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17 933,9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0F049D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0F049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  <w:t>108 358,9</w:t>
            </w:r>
          </w:p>
        </w:tc>
      </w:tr>
      <w:tr w:rsidR="00030232" w:rsidRPr="00385568" w:rsidTr="00030232">
        <w:trPr>
          <w:trHeight w:val="360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143,6</w:t>
            </w:r>
          </w:p>
        </w:tc>
        <w:tc>
          <w:tcPr>
            <w:tcW w:w="567" w:type="dxa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564,3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712" w:type="dxa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7 652,9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14 985,9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15 570,5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16 172,2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16 823,9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17 496,2</w:t>
            </w: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17 933,9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0030E1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030E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108 358,9</w:t>
            </w:r>
          </w:p>
        </w:tc>
      </w:tr>
      <w:tr w:rsidR="00030232" w:rsidRPr="00385568" w:rsidTr="00030232">
        <w:trPr>
          <w:trHeight w:val="357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30232" w:rsidRPr="00385568" w:rsidTr="00030232">
        <w:trPr>
          <w:trHeight w:val="357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30232" w:rsidRPr="00DD79F7" w:rsidRDefault="00030232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4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gridSpan w:val="2"/>
            <w:shd w:val="clear" w:color="auto" w:fill="FFFFFF"/>
          </w:tcPr>
          <w:p w:rsidR="00030232" w:rsidRPr="00385568" w:rsidRDefault="00030232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0030E1" w:rsidRPr="00385568" w:rsidTr="00030232">
        <w:trPr>
          <w:trHeight w:val="348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Źródła finansowania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:rsidR="00783340" w:rsidRDefault="000030E1" w:rsidP="001F2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C49C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Projektowane rozwiązania będą miały wpływ na wydatki sektora finansów publicznych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głównie w latach 2017-2018 </w:t>
            </w:r>
            <w:r w:rsidRPr="008C49C4">
              <w:rPr>
                <w:rFonts w:ascii="Times New Roman" w:eastAsia="Calibri" w:hAnsi="Times New Roman" w:cs="Times New Roman"/>
                <w:color w:val="000000"/>
                <w:lang w:eastAsia="en-US"/>
              </w:rPr>
              <w:t>w obszarze przeszkolenia funkcjonariuszy, zakupu dodatkowych radiowozów dla mobilnych jednostek, zakupu przenośnych urządzeń te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stowych</w:t>
            </w:r>
            <w:r w:rsidR="006545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mobilnych laboratoriów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 Dodatkowe zakupy inwestycyjne podzielono na 2 lat</w:t>
            </w:r>
            <w:r w:rsidR="007833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, główne obciążenie przenosząc do ustawy budżetowej 2018. Stałą pozycję z tendencją do spadku mogą stanowić koszty</w:t>
            </w:r>
            <w:r w:rsidRPr="008C49C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wykonywania standardowych badań laboratoryjnych.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Potencjalny spadek tych kosztów umożliwią mobilne laboratoria. </w:t>
            </w:r>
          </w:p>
          <w:p w:rsidR="000030E1" w:rsidRPr="008C49C4" w:rsidRDefault="00ED68FD" w:rsidP="00DC4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>Ś</w:t>
            </w:r>
            <w:r w:rsidR="002263DA" w:rsidRP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rodki </w:t>
            </w:r>
            <w:r w:rsidR="0078334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na realizację ustawowych zadań winny pochodzić z budżetu </w:t>
            </w:r>
            <w:r w:rsidR="00783340" w:rsidRPr="007833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części</w:t>
            </w:r>
            <w:r w:rsidR="0078334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19 – Budżet, finanse publiczne </w:t>
            </w:r>
            <w:r w:rsidR="00783340" w:rsidRPr="007833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i instytucje finansowe</w:t>
            </w:r>
            <w:r w:rsidR="00783340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="008351F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8351F0" w:rsidRPr="00DC44BE">
              <w:rPr>
                <w:rFonts w:ascii="Times New Roman" w:eastAsia="Calibri" w:hAnsi="Times New Roman" w:cs="Times New Roman"/>
                <w:color w:val="000000"/>
                <w:lang w:eastAsia="en-US"/>
              </w:rPr>
              <w:t>Zadania  nałożone na Policję oraz Straż Graniczną nie</w:t>
            </w:r>
            <w:r w:rsidR="00DC44BE" w:rsidRPr="00DC44BE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8351F0" w:rsidRPr="00DC44BE">
              <w:rPr>
                <w:rFonts w:ascii="Times New Roman" w:eastAsia="Calibri" w:hAnsi="Times New Roman" w:cs="Times New Roman"/>
                <w:color w:val="000000"/>
                <w:lang w:eastAsia="en-US"/>
              </w:rPr>
              <w:t>spowodują dodatkowych skutków finansowych i będą finansowane w ramach limitu wydatków dla cz. 42-Sprawy wewnętrzne.</w:t>
            </w:r>
          </w:p>
        </w:tc>
      </w:tr>
      <w:tr w:rsidR="000030E1" w:rsidRPr="00385568" w:rsidTr="00030232">
        <w:trPr>
          <w:trHeight w:val="1367"/>
        </w:trPr>
        <w:tc>
          <w:tcPr>
            <w:tcW w:w="1977" w:type="dxa"/>
            <w:gridSpan w:val="2"/>
            <w:shd w:val="clear" w:color="auto" w:fill="FFFFFF"/>
          </w:tcPr>
          <w:p w:rsidR="000030E1" w:rsidRPr="008017B8" w:rsidRDefault="000030E1" w:rsidP="000030E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  <w:lang w:eastAsia="en-US"/>
              </w:rPr>
            </w:pPr>
            <w:r w:rsidRPr="00B803C2">
              <w:rPr>
                <w:rFonts w:ascii="Times New Roman" w:eastAsia="Calibri" w:hAnsi="Times New Roman" w:cs="Times New Roman"/>
                <w:color w:val="000000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:rsidR="000030E1" w:rsidRDefault="000030E1" w:rsidP="00462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Do szacunku </w:t>
            </w:r>
            <w:r w:rsidR="000D20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dynamiki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wpływów budżetowych wykorzystano sprawozdanie operatywne z</w:t>
            </w:r>
            <w:r w:rsidR="002C7290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wykonania budżetu </w:t>
            </w:r>
            <w:r w:rsidR="003D33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aństwa za lata 2009</w:t>
            </w:r>
            <w:r w:rsidR="002C7290"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VIII.2016. Do ekstrapolacji na lata 2017-2026 przyjęto wykonanie w 100% ustawy budżetowej 2016 </w:t>
            </w:r>
            <w:r w:rsidR="00462D0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roku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w zakresie podatku od towarów i</w:t>
            </w:r>
            <w:r w:rsidR="00462D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973F55">
              <w:rPr>
                <w:rFonts w:ascii="Times New Roman" w:eastAsia="Calibri" w:hAnsi="Times New Roman" w:cs="Times New Roman"/>
                <w:color w:val="000000"/>
                <w:lang w:eastAsia="en-US"/>
              </w:rPr>
              <w:t>usług dla 60% wartości tego podatku</w:t>
            </w:r>
            <w:r w:rsidR="00153CD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w ujęciu strukturalnym (ok. 60% wpływów z podatku od towarów i usług będzie dotyczyło produktów obejmowanych wprowadzaną </w:t>
            </w:r>
            <w:r w:rsidR="00153CDC" w:rsidRP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>regulacją</w:t>
            </w:r>
            <w:r w:rsidR="006278D6" w:rsidRP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– zgodnie z założeniami ustawy budżetowej na rok 2017</w:t>
            </w:r>
            <w:r w:rsidR="00153CDC" w:rsidRP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  <w:r w:rsidR="00973F55" w:rsidRP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</w:t>
            </w:r>
            <w:r w:rsidR="000D205A" w:rsidRP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>W roku 2017 przewidziano, zgodnie</w:t>
            </w:r>
            <w:r w:rsidR="000D20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z</w:t>
            </w:r>
            <w:r w:rsidR="00D04B85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3D33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założeniami ustawy budżetowej</w:t>
            </w:r>
            <w:r w:rsidR="000D20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skokowy wzrost dochodów na poziomie 11% w stosunku do roku 2016.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Na potrzeby wyliczenia różnicy przychodów z</w:t>
            </w:r>
            <w:r w:rsidR="00462D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tytułu podatku od towarów i usług w</w:t>
            </w:r>
            <w:r w:rsidR="00D04B85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wariancie bez zmian przyjęto dynamikę wzrostu w</w:t>
            </w:r>
            <w:r w:rsidR="00462D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zakresie 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do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2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,5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% w skali roku. Wariant porównawczy (ze zmianą ustawową) zakłada 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wyższą dynamikę. Szacowany, łączny dodatkowy dochód budżetu </w:t>
            </w:r>
            <w:r w:rsidR="003D33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p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aństwa</w:t>
            </w:r>
            <w:r w:rsidR="00767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w „zerowym” roku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wynikający z</w:t>
            </w:r>
            <w:r w:rsidR="00462D00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wprowadzanej regulacji</w:t>
            </w:r>
            <w:r w:rsidR="00767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pod warunkiem uzyskania pełnej gotowości operacyjnej służb kontrolnych,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wyniesie ok. </w:t>
            </w:r>
            <w:r w:rsidR="00767EF5" w:rsidRPr="00767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154,4</w:t>
            </w:r>
            <w:r w:rsidR="00767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mln</w:t>
            </w:r>
            <w:r w:rsidR="00D04B85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zł</w:t>
            </w:r>
            <w:r w:rsidR="00B16E1B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="00BF7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3D3367" w:rsidRDefault="00811898" w:rsidP="00767E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3D5">
              <w:rPr>
                <w:rFonts w:ascii="Times New Roman" w:eastAsia="Calibri" w:hAnsi="Times New Roman" w:cs="Times New Roman"/>
                <w:color w:val="000000"/>
                <w:lang w:eastAsia="en-US"/>
              </w:rPr>
              <w:t>W zakresie wyliczenia kosztów, kt</w:t>
            </w:r>
            <w:r w:rsidR="00767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óre poniosą organy KAS</w:t>
            </w:r>
            <w:r w:rsidRPr="003D33D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: </w:t>
            </w:r>
            <w:r w:rsidR="00EE4DFF" w:rsidRPr="003D33D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jednostkowy </w:t>
            </w:r>
            <w:r w:rsidR="00EE4DFF" w:rsidRPr="003D33D5">
              <w:rPr>
                <w:rFonts w:ascii="Times New Roman" w:hAnsi="Times New Roman" w:cs="Times New Roman"/>
                <w:color w:val="000000"/>
              </w:rPr>
              <w:t>koszt szkoleń z</w:t>
            </w:r>
            <w:r w:rsidR="00D04B85">
              <w:rPr>
                <w:rFonts w:ascii="Times New Roman" w:hAnsi="Times New Roman" w:cs="Times New Roman"/>
                <w:color w:val="000000"/>
              </w:rPr>
              <w:t> </w:t>
            </w:r>
            <w:r w:rsidR="00EE4DFF" w:rsidRPr="003D33D5">
              <w:rPr>
                <w:rFonts w:ascii="Times New Roman" w:hAnsi="Times New Roman" w:cs="Times New Roman"/>
                <w:color w:val="000000"/>
              </w:rPr>
              <w:t xml:space="preserve">pobierania próbek 350 zł, zakup urządzeń do szybkiego odczytu wstępnego rodzaju towarów 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>45</w:t>
            </w:r>
            <w:r w:rsidR="00D04B85">
              <w:rPr>
                <w:rFonts w:ascii="Times New Roman" w:hAnsi="Times New Roman" w:cs="Times New Roman"/>
                <w:color w:val="000000"/>
              </w:rPr>
              <w:t> 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>000 USD</w:t>
            </w:r>
            <w:r w:rsidR="003D33D5">
              <w:rPr>
                <w:rFonts w:ascii="Times New Roman" w:hAnsi="Times New Roman" w:cs="Times New Roman"/>
                <w:color w:val="000000"/>
              </w:rPr>
              <w:t xml:space="preserve"> (dostępne są również inne urz</w:t>
            </w:r>
            <w:r w:rsidR="003D3367">
              <w:rPr>
                <w:rFonts w:ascii="Times New Roman" w:hAnsi="Times New Roman" w:cs="Times New Roman"/>
                <w:color w:val="000000"/>
              </w:rPr>
              <w:t>ądzenia w cenie 12 000-50 000 EUR</w:t>
            </w:r>
            <w:r w:rsidR="003D33D5">
              <w:rPr>
                <w:rFonts w:ascii="Times New Roman" w:hAnsi="Times New Roman" w:cs="Times New Roman"/>
                <w:color w:val="000000"/>
              </w:rPr>
              <w:t>, do kalkulacji wybrano model optymalny)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06B05">
              <w:rPr>
                <w:rFonts w:ascii="Times New Roman" w:hAnsi="Times New Roman" w:cs="Times New Roman"/>
                <w:color w:val="000000"/>
              </w:rPr>
              <w:t>16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 xml:space="preserve"> szt. w roku 2017</w:t>
            </w:r>
            <w:r w:rsidR="003D33D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>koszty badań</w:t>
            </w:r>
            <w:r w:rsidR="00EE4DFF" w:rsidRPr="003D33D5">
              <w:rPr>
                <w:rFonts w:ascii="Times New Roman" w:hAnsi="Times New Roman" w:cs="Times New Roman"/>
                <w:color w:val="000000"/>
              </w:rPr>
              <w:t xml:space="preserve"> laboratoryjnych - </w:t>
            </w:r>
            <w:r w:rsidR="00083DDC" w:rsidRPr="003D33D5">
              <w:rPr>
                <w:rFonts w:ascii="Times New Roman" w:hAnsi="Times New Roman" w:cs="Times New Roman"/>
              </w:rPr>
              <w:t xml:space="preserve">przy stosowanym dotychczas 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>progu kontroli oraz procentowym udziale poziomu poboru próbek wyrobów akcyzowych założono 8100 kontro</w:t>
            </w:r>
            <w:r w:rsidR="00F2444A" w:rsidRPr="003D33D5">
              <w:rPr>
                <w:rFonts w:ascii="Times New Roman" w:hAnsi="Times New Roman" w:cs="Times New Roman"/>
                <w:color w:val="000000"/>
              </w:rPr>
              <w:t>li miesięcznie, co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444A" w:rsidRPr="003D33D5">
              <w:rPr>
                <w:rFonts w:ascii="Times New Roman" w:hAnsi="Times New Roman" w:cs="Times New Roman"/>
                <w:color w:val="000000"/>
              </w:rPr>
              <w:t xml:space="preserve">przy 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>jednostkowy</w:t>
            </w:r>
            <w:r w:rsidR="003D3367">
              <w:rPr>
                <w:rFonts w:ascii="Times New Roman" w:hAnsi="Times New Roman" w:cs="Times New Roman"/>
                <w:color w:val="000000"/>
              </w:rPr>
              <w:t>m koszcie 100</w:t>
            </w:r>
            <w:r w:rsidR="00806B05">
              <w:rPr>
                <w:rFonts w:ascii="Times New Roman" w:hAnsi="Times New Roman" w:cs="Times New Roman"/>
                <w:color w:val="000000"/>
              </w:rPr>
              <w:t> </w:t>
            </w:r>
            <w:r w:rsidR="003D3367">
              <w:rPr>
                <w:rFonts w:ascii="Times New Roman" w:hAnsi="Times New Roman" w:cs="Times New Roman"/>
                <w:color w:val="000000"/>
              </w:rPr>
              <w:t>zł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 xml:space="preserve"> wykonania badania laboratoryjnego, w skali roku wyniesie 9</w:t>
            </w:r>
            <w:r w:rsidR="003D3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>720</w:t>
            </w:r>
            <w:r w:rsidR="003D33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3DDC" w:rsidRPr="003D33D5">
              <w:rPr>
                <w:rFonts w:ascii="Times New Roman" w:hAnsi="Times New Roman" w:cs="Times New Roman"/>
                <w:color w:val="000000"/>
              </w:rPr>
              <w:t>000 zł</w:t>
            </w:r>
            <w:r w:rsidR="00F2444A" w:rsidRPr="003D33D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1898" w:rsidRPr="00DD79F7" w:rsidRDefault="00953BB0" w:rsidP="00806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Planowanie w zakresie wykorzystania kadr przewiduje, że z</w:t>
            </w:r>
            <w:r w:rsidR="00767EF5">
              <w:rPr>
                <w:rFonts w:ascii="Times New Roman" w:hAnsi="Times New Roman" w:cs="Times New Roman"/>
                <w:color w:val="000000"/>
              </w:rPr>
              <w:t xml:space="preserve">adania </w:t>
            </w:r>
            <w:r>
              <w:rPr>
                <w:rFonts w:ascii="Times New Roman" w:hAnsi="Times New Roman" w:cs="Times New Roman"/>
                <w:color w:val="000000"/>
              </w:rPr>
              <w:t>nakładane ustawą</w:t>
            </w:r>
            <w:r w:rsidR="00767EF5">
              <w:rPr>
                <w:rFonts w:ascii="Times New Roman" w:hAnsi="Times New Roman" w:cs="Times New Roman"/>
                <w:color w:val="000000"/>
              </w:rPr>
              <w:t xml:space="preserve"> będą wykonywane przez funkcjonariuszy urzędów celno-skarbowych w ramach p</w:t>
            </w:r>
            <w:r>
              <w:rPr>
                <w:rFonts w:ascii="Times New Roman" w:hAnsi="Times New Roman" w:cs="Times New Roman"/>
                <w:color w:val="000000"/>
              </w:rPr>
              <w:t>osiadanyc</w:t>
            </w:r>
            <w:r w:rsidR="00D04B85">
              <w:rPr>
                <w:rFonts w:ascii="Times New Roman" w:hAnsi="Times New Roman" w:cs="Times New Roman"/>
                <w:color w:val="000000"/>
              </w:rPr>
              <w:t>h zasobów kadrowych oraz przez Policję i Straż G</w:t>
            </w:r>
            <w:r w:rsidR="00806B05">
              <w:rPr>
                <w:rFonts w:ascii="Times New Roman" w:hAnsi="Times New Roman" w:cs="Times New Roman"/>
                <w:color w:val="000000"/>
              </w:rPr>
              <w:t>raniczną, a w dalszej perspektywie także inne służby, np. Inspekcję Transportu Drogowego.</w:t>
            </w:r>
          </w:p>
        </w:tc>
      </w:tr>
      <w:tr w:rsidR="000030E1" w:rsidRPr="00385568" w:rsidTr="00030232">
        <w:trPr>
          <w:trHeight w:val="345"/>
        </w:trPr>
        <w:tc>
          <w:tcPr>
            <w:tcW w:w="10692" w:type="dxa"/>
            <w:gridSpan w:val="27"/>
            <w:shd w:val="clear" w:color="auto" w:fill="99CCFF"/>
          </w:tcPr>
          <w:p w:rsidR="000030E1" w:rsidRPr="00DD79F7" w:rsidRDefault="000030E1" w:rsidP="000030E1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  <w:lastRenderedPageBreak/>
              <w:t xml:space="preserve">Wpływ na </w:t>
            </w: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Skutki</w:t>
            </w:r>
          </w:p>
        </w:tc>
      </w:tr>
      <w:tr w:rsidR="000030E1" w:rsidRPr="00385568" w:rsidTr="002703D2">
        <w:trPr>
          <w:trHeight w:val="142"/>
        </w:trPr>
        <w:tc>
          <w:tcPr>
            <w:tcW w:w="3886" w:type="dxa"/>
            <w:gridSpan w:val="7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Czas w latach od wejścia w życie zmian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6" w:type="dxa"/>
            <w:gridSpan w:val="4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80" w:type="dxa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385568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0030E1" w:rsidRPr="00385568" w:rsidTr="002703D2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:rsidR="000030E1" w:rsidRPr="00DD79F7" w:rsidRDefault="000030E1" w:rsidP="000030E1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W ujęciu pieniężnym</w:t>
            </w:r>
          </w:p>
          <w:p w:rsidR="000030E1" w:rsidRPr="00DD79F7" w:rsidRDefault="000030E1" w:rsidP="000030E1">
            <w:pPr>
              <w:spacing w:after="0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(w mln zł, </w:t>
            </w:r>
          </w:p>
          <w:p w:rsidR="000030E1" w:rsidRPr="00DD79F7" w:rsidRDefault="000030E1" w:rsidP="003C66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ceny stałe z </w:t>
            </w:r>
            <w:r w:rsidR="003C66F3">
              <w:rPr>
                <w:rFonts w:ascii="Times New Roman" w:eastAsia="Calibri" w:hAnsi="Times New Roman" w:cs="Times New Roman"/>
                <w:spacing w:val="-2"/>
                <w:lang w:eastAsia="en-US"/>
              </w:rPr>
              <w:t>2016</w:t>
            </w:r>
            <w:r w:rsidRPr="00DD79F7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duże przedsiębiorstwa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80" w:type="dxa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0030E1" w:rsidRPr="00385568" w:rsidTr="002703D2">
        <w:trPr>
          <w:trHeight w:val="142"/>
        </w:trPr>
        <w:tc>
          <w:tcPr>
            <w:tcW w:w="1594" w:type="dxa"/>
            <w:vMerge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sektor mikro-, małych i średnich przedsiębiorstw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0030E1" w:rsidRPr="000F6ED3" w:rsidRDefault="000F6ED3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15,1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46" w:type="dxa"/>
            <w:gridSpan w:val="4"/>
            <w:shd w:val="clear" w:color="auto" w:fill="FFFFFF"/>
          </w:tcPr>
          <w:p w:rsidR="000030E1" w:rsidRPr="000F6ED3" w:rsidRDefault="000F6ED3" w:rsidP="000F6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5</w:t>
            </w:r>
            <w:r w:rsidR="00D6247A" w:rsidRPr="000F6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030E1" w:rsidRPr="000F6ED3" w:rsidRDefault="00D6247A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0F6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  <w:t>10,1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030E1" w:rsidRPr="000F6ED3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030E1" w:rsidRPr="000F6ED3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0030E1" w:rsidRPr="000F6ED3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80" w:type="dxa"/>
            <w:shd w:val="clear" w:color="auto" w:fill="FFFFFF"/>
          </w:tcPr>
          <w:p w:rsidR="000030E1" w:rsidRPr="000F6ED3" w:rsidRDefault="00D6247A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F6ED3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30,3</w:t>
            </w:r>
          </w:p>
        </w:tc>
      </w:tr>
      <w:tr w:rsidR="000030E1" w:rsidRPr="00385568" w:rsidTr="002703D2">
        <w:trPr>
          <w:trHeight w:val="142"/>
        </w:trPr>
        <w:tc>
          <w:tcPr>
            <w:tcW w:w="1594" w:type="dxa"/>
            <w:vMerge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lang w:eastAsia="en-US"/>
              </w:rPr>
              <w:t>rodzina, obywatele oraz gospodarstwa domowe</w:t>
            </w:r>
          </w:p>
        </w:tc>
        <w:tc>
          <w:tcPr>
            <w:tcW w:w="929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46" w:type="dxa"/>
            <w:gridSpan w:val="4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80" w:type="dxa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0030E1" w:rsidRPr="00385568" w:rsidTr="00030232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duże przedsiębiorstwa</w:t>
            </w:r>
          </w:p>
        </w:tc>
        <w:tc>
          <w:tcPr>
            <w:tcW w:w="6806" w:type="dxa"/>
            <w:gridSpan w:val="20"/>
            <w:shd w:val="clear" w:color="auto" w:fill="FFFFFF"/>
          </w:tcPr>
          <w:p w:rsidR="000030E1" w:rsidRPr="004208F2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</w:pPr>
            <w:r w:rsidRPr="004208F2"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  <w:t>Wyrównane warunki prowadzenia działalności w zakresie przewozów drogowych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  <w:t>, zahamowanie nieuczciwej konkurencji.</w:t>
            </w:r>
          </w:p>
        </w:tc>
      </w:tr>
      <w:tr w:rsidR="000030E1" w:rsidRPr="00385568" w:rsidTr="00030232">
        <w:trPr>
          <w:trHeight w:val="142"/>
        </w:trPr>
        <w:tc>
          <w:tcPr>
            <w:tcW w:w="1594" w:type="dxa"/>
            <w:vMerge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sektor mikro-, małych i średnich przedsiębiorstw</w:t>
            </w:r>
          </w:p>
        </w:tc>
        <w:tc>
          <w:tcPr>
            <w:tcW w:w="6806" w:type="dxa"/>
            <w:gridSpan w:val="20"/>
            <w:shd w:val="clear" w:color="auto" w:fill="FFFFFF"/>
          </w:tcPr>
          <w:p w:rsidR="000030E1" w:rsidRPr="004208F2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</w:pPr>
            <w:r w:rsidRPr="004208F2">
              <w:rPr>
                <w:rFonts w:ascii="Times New Roman" w:eastAsia="Calibri" w:hAnsi="Times New Roman" w:cs="Times New Roman"/>
                <w:spacing w:val="-2"/>
                <w:sz w:val="21"/>
                <w:szCs w:val="21"/>
                <w:lang w:eastAsia="en-US"/>
              </w:rPr>
              <w:t>Wyrównane warunki prowadzenia działalności w zakresie przewozów drogowych, zahamowanie nieuczciwej konkurencji.</w:t>
            </w:r>
          </w:p>
        </w:tc>
      </w:tr>
      <w:tr w:rsidR="000030E1" w:rsidRPr="00385568" w:rsidTr="00030232">
        <w:trPr>
          <w:trHeight w:val="596"/>
        </w:trPr>
        <w:tc>
          <w:tcPr>
            <w:tcW w:w="1594" w:type="dxa"/>
            <w:vMerge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0030E1" w:rsidRPr="00DD79F7" w:rsidRDefault="000030E1" w:rsidP="000030E1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lang w:eastAsia="en-US"/>
              </w:rPr>
              <w:t>rodzina, obywatele oraz gospodarstwa domowe</w:t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6806" w:type="dxa"/>
            <w:gridSpan w:val="20"/>
            <w:shd w:val="clear" w:color="auto" w:fill="FFFFFF"/>
            <w:vAlign w:val="center"/>
          </w:tcPr>
          <w:p w:rsidR="000030E1" w:rsidRPr="005D7F83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highlight w:val="yellow"/>
                <w:lang w:eastAsia="en-US"/>
              </w:rPr>
            </w:pPr>
            <w:r w:rsidRPr="001912D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Nie dotyczy</w:t>
            </w:r>
          </w:p>
        </w:tc>
      </w:tr>
      <w:tr w:rsidR="000030E1" w:rsidRPr="00385568" w:rsidTr="00030232">
        <w:trPr>
          <w:trHeight w:val="142"/>
        </w:trPr>
        <w:tc>
          <w:tcPr>
            <w:tcW w:w="1594" w:type="dxa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806" w:type="dxa"/>
            <w:gridSpan w:val="20"/>
            <w:shd w:val="clear" w:color="auto" w:fill="FFFFFF"/>
          </w:tcPr>
          <w:p w:rsidR="000030E1" w:rsidRPr="005D7F83" w:rsidRDefault="000030E1" w:rsidP="0000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highlight w:val="yellow"/>
                <w:lang w:eastAsia="en-US"/>
              </w:rPr>
            </w:pPr>
            <w:r w:rsidRPr="001912D8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lang w:eastAsia="en-US"/>
              </w:rPr>
              <w:t>Nie dotyczy</w:t>
            </w:r>
          </w:p>
        </w:tc>
      </w:tr>
      <w:tr w:rsidR="000030E1" w:rsidRPr="00385568" w:rsidTr="00030232">
        <w:trPr>
          <w:trHeight w:val="1408"/>
        </w:trPr>
        <w:tc>
          <w:tcPr>
            <w:tcW w:w="1977" w:type="dxa"/>
            <w:gridSpan w:val="2"/>
            <w:shd w:val="clear" w:color="auto" w:fill="FFFFFF"/>
          </w:tcPr>
          <w:p w:rsidR="000030E1" w:rsidRPr="005D7F83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  <w:lang w:eastAsia="en-US"/>
              </w:rPr>
            </w:pPr>
            <w:r w:rsidRPr="001C6FB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Dodatkowe informacje, w tym wskazanie źródeł danych i </w:t>
            </w:r>
            <w:r w:rsidRPr="001C6FB5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przyjętych do obliczeń założeń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:rsidR="000030E1" w:rsidRPr="00DD79F7" w:rsidRDefault="000030E1" w:rsidP="00003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0030E1" w:rsidRPr="00385568" w:rsidTr="00030232">
        <w:trPr>
          <w:trHeight w:val="342"/>
        </w:trPr>
        <w:tc>
          <w:tcPr>
            <w:tcW w:w="10692" w:type="dxa"/>
            <w:gridSpan w:val="27"/>
            <w:shd w:val="clear" w:color="auto" w:fill="99CCFF"/>
            <w:vAlign w:val="center"/>
          </w:tcPr>
          <w:p w:rsidR="000030E1" w:rsidRPr="00DD79F7" w:rsidRDefault="000030E1" w:rsidP="000030E1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0030E1" w:rsidRPr="00385568" w:rsidTr="00030232">
        <w:trPr>
          <w:trHeight w:val="151"/>
        </w:trPr>
        <w:tc>
          <w:tcPr>
            <w:tcW w:w="10692" w:type="dxa"/>
            <w:gridSpan w:val="27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nie dotyczy</w:t>
            </w:r>
          </w:p>
        </w:tc>
      </w:tr>
      <w:tr w:rsidR="000030E1" w:rsidRPr="00385568" w:rsidTr="00030232">
        <w:trPr>
          <w:trHeight w:val="946"/>
        </w:trPr>
        <w:tc>
          <w:tcPr>
            <w:tcW w:w="5108" w:type="dxa"/>
            <w:gridSpan w:val="12"/>
            <w:shd w:val="clear" w:color="auto" w:fill="FFFFFF"/>
          </w:tcPr>
          <w:p w:rsidR="000030E1" w:rsidRPr="00DD79F7" w:rsidRDefault="000030E1" w:rsidP="000030E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Wprowadzane są obciążenia poza bezwzględnie wymaganymi przez UE </w:t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(szczegóły w odwróconej tabeli zgodności).</w:t>
            </w:r>
          </w:p>
        </w:tc>
        <w:tc>
          <w:tcPr>
            <w:tcW w:w="5584" w:type="dxa"/>
            <w:gridSpan w:val="15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tak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nie</w:t>
            </w:r>
          </w:p>
          <w:p w:rsidR="000030E1" w:rsidRPr="00385568" w:rsidRDefault="000030E1" w:rsidP="000030E1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nie dotyczy</w:t>
            </w:r>
          </w:p>
        </w:tc>
      </w:tr>
      <w:tr w:rsidR="000030E1" w:rsidRPr="00385568" w:rsidTr="00030232">
        <w:trPr>
          <w:trHeight w:val="1245"/>
        </w:trPr>
        <w:tc>
          <w:tcPr>
            <w:tcW w:w="5108" w:type="dxa"/>
            <w:gridSpan w:val="12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zmniejszenie liczby dokumentów </w:t>
            </w:r>
          </w:p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zmniejszenie liczby procedur</w:t>
            </w:r>
          </w:p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skrócenie czasu na załatwienie sprawy</w:t>
            </w:r>
          </w:p>
          <w:p w:rsidR="000030E1" w:rsidRPr="00DD79F7" w:rsidRDefault="000030E1" w:rsidP="000030E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inne:</w:t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FORMTEXT </w:instrText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DD79F7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DD79F7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DD79F7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DD79F7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DD79F7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</w:p>
        </w:tc>
        <w:tc>
          <w:tcPr>
            <w:tcW w:w="5584" w:type="dxa"/>
            <w:gridSpan w:val="15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zwiększenie liczby dokumentów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6ED3">
              <w:rPr>
                <w:rFonts w:ascii="Times New Roman" w:hAnsi="Times New Roman"/>
                <w:color w:val="000000"/>
              </w:rPr>
            </w:r>
            <w:r w:rsidR="000F6E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zwiększenie liczby procedur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wydłużenie czasu na załatwienie sprawy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inne:</w:t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FORMTEXT </w:instrText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385568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385568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385568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385568">
              <w:rPr>
                <w:rFonts w:ascii="Times New Roman" w:eastAsia="Calibri" w:hAnsi="Calibri" w:cs="Times New Roman"/>
                <w:noProof/>
                <w:color w:val="000000"/>
                <w:lang w:eastAsia="en-US"/>
              </w:rPr>
              <w:t> </w:t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0030E1" w:rsidRPr="00385568" w:rsidTr="00030232">
        <w:trPr>
          <w:trHeight w:val="870"/>
        </w:trPr>
        <w:tc>
          <w:tcPr>
            <w:tcW w:w="5108" w:type="dxa"/>
            <w:gridSpan w:val="12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584" w:type="dxa"/>
            <w:gridSpan w:val="15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tak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nie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nie dotyczy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0030E1" w:rsidRPr="00385568" w:rsidTr="00030232">
        <w:trPr>
          <w:trHeight w:val="630"/>
        </w:trPr>
        <w:tc>
          <w:tcPr>
            <w:tcW w:w="10692" w:type="dxa"/>
            <w:gridSpan w:val="27"/>
            <w:shd w:val="clear" w:color="auto" w:fill="FFFFFF"/>
          </w:tcPr>
          <w:p w:rsidR="000030E1" w:rsidRDefault="000030E1" w:rsidP="00003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Komentarz:</w:t>
            </w:r>
          </w:p>
          <w:p w:rsidR="000030E1" w:rsidRPr="00DD79F7" w:rsidRDefault="000030E1" w:rsidP="00C64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Ustawa wprowadza jakościowo nowe rozwiązania, jednak z wykorzystaniem obecnych na rynku systemów i</w:t>
            </w:r>
            <w:r w:rsidR="00C6412F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urządzeń do lokalizacji środków transportu drogowego. 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99CCFF"/>
          </w:tcPr>
          <w:p w:rsidR="000030E1" w:rsidRPr="00DD79F7" w:rsidRDefault="000030E1" w:rsidP="000030E1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Wpływ na rynek pracy 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auto"/>
          </w:tcPr>
          <w:p w:rsidR="000030E1" w:rsidRDefault="000030E1" w:rsidP="00003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Na rynku pracy:</w:t>
            </w:r>
          </w:p>
          <w:p w:rsidR="000030E1" w:rsidRDefault="000030E1" w:rsidP="00003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 nastąpi ożywienie w zakresie produkcji, serwisowania i oprogramowania na potrzeby systemu lokalizacji przewozów drogowych,</w:t>
            </w:r>
          </w:p>
          <w:p w:rsidR="00476338" w:rsidRDefault="000030E1" w:rsidP="00003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 nastąpi uporządkowanie i podniesienie jakości usług transportowych</w:t>
            </w:r>
            <w:r w:rsidR="0047633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</w:t>
            </w:r>
          </w:p>
          <w:p w:rsidR="000030E1" w:rsidRPr="005D7F83" w:rsidRDefault="00476338" w:rsidP="005D3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 zwiększy się produkcja towarów krajowych</w:t>
            </w:r>
            <w:r w:rsidR="000030E1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99CCFF"/>
          </w:tcPr>
          <w:p w:rsidR="000030E1" w:rsidRPr="00DD79F7" w:rsidRDefault="000030E1" w:rsidP="000030E1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Wpływ na pozostałe obszary</w:t>
            </w:r>
          </w:p>
        </w:tc>
      </w:tr>
      <w:tr w:rsidR="000030E1" w:rsidRPr="00385568" w:rsidTr="00030232">
        <w:trPr>
          <w:trHeight w:val="1031"/>
        </w:trPr>
        <w:tc>
          <w:tcPr>
            <w:tcW w:w="3394" w:type="dxa"/>
            <w:gridSpan w:val="6"/>
            <w:shd w:val="clear" w:color="auto" w:fill="FFFFFF"/>
          </w:tcPr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środowisko naturalne</w:t>
            </w:r>
          </w:p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D79F7">
              <w:rPr>
                <w:rFonts w:ascii="Times New Roman" w:eastAsia="Calibri" w:hAnsi="Times New Roman" w:cs="Times New Roman"/>
                <w:color w:val="000000"/>
                <w:lang w:eastAsia="en-US"/>
              </w:rPr>
              <w:t>sytuacja i rozwój regionalny</w:t>
            </w:r>
          </w:p>
          <w:p w:rsidR="000030E1" w:rsidRPr="00DD79F7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A61D0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inne:</w:t>
            </w:r>
          </w:p>
        </w:tc>
        <w:tc>
          <w:tcPr>
            <w:tcW w:w="3837" w:type="dxa"/>
            <w:gridSpan w:val="13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demografia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instrText xml:space="preserve"> FORMCHECKBOX </w:instrText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</w:r>
            <w:r w:rsidR="000F6ED3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separate"/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mienie państwowe</w:t>
            </w:r>
          </w:p>
        </w:tc>
        <w:tc>
          <w:tcPr>
            <w:tcW w:w="3461" w:type="dxa"/>
            <w:gridSpan w:val="8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6ED3">
              <w:rPr>
                <w:rFonts w:ascii="Times New Roman" w:hAnsi="Times New Roman"/>
                <w:color w:val="000000"/>
              </w:rPr>
            </w:r>
            <w:r w:rsidR="000F6E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informatyzacja</w:t>
            </w:r>
          </w:p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6ED3">
              <w:rPr>
                <w:rFonts w:ascii="Times New Roman" w:hAnsi="Times New Roman"/>
                <w:color w:val="000000"/>
              </w:rPr>
            </w:r>
            <w:r w:rsidR="000F6ED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8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zdrowie</w:t>
            </w:r>
          </w:p>
        </w:tc>
      </w:tr>
      <w:tr w:rsidR="000030E1" w:rsidRPr="00385568" w:rsidTr="00030232">
        <w:trPr>
          <w:trHeight w:val="712"/>
        </w:trPr>
        <w:tc>
          <w:tcPr>
            <w:tcW w:w="1977" w:type="dxa"/>
            <w:gridSpan w:val="2"/>
            <w:shd w:val="clear" w:color="auto" w:fill="FFFFFF"/>
            <w:vAlign w:val="center"/>
          </w:tcPr>
          <w:p w:rsidR="000030E1" w:rsidRPr="00385568" w:rsidRDefault="000030E1" w:rsidP="000030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color w:val="000000"/>
                <w:lang w:eastAsia="en-US"/>
              </w:rPr>
              <w:t>Omówienie wpływu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:rsidR="000030E1" w:rsidRPr="00385568" w:rsidRDefault="000030E1" w:rsidP="00476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E741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Oczekuje się, ż</w:t>
            </w:r>
            <w:r w:rsidR="00476338">
              <w:rPr>
                <w:rFonts w:ascii="Times New Roman" w:eastAsia="Calibri" w:hAnsi="Times New Roman" w:cs="Times New Roman"/>
                <w:color w:val="000000"/>
                <w:lang w:eastAsia="en-US"/>
              </w:rPr>
              <w:t>e</w:t>
            </w:r>
            <w:r w:rsidRPr="00E7416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wejście w życie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ustawy o systemie monitorowania drogowego przewozu towarów</w:t>
            </w:r>
            <w:r w:rsidR="00302C1C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poprzez możliwość lepszego typowania do kontroli, przyczyni się do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uszczelni</w:t>
            </w:r>
            <w:r w:rsidR="00302C1C">
              <w:rPr>
                <w:rFonts w:ascii="Times New Roman" w:eastAsia="Calibri" w:hAnsi="Times New Roman" w:cs="Times New Roman"/>
                <w:color w:val="000000"/>
                <w:lang w:eastAsia="en-US"/>
              </w:rPr>
              <w:t>enia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system</w:t>
            </w:r>
            <w:r w:rsidR="00302C1C">
              <w:rPr>
                <w:rFonts w:ascii="Times New Roman" w:eastAsia="Calibri" w:hAnsi="Times New Roman" w:cs="Times New Roman"/>
                <w:color w:val="000000"/>
                <w:lang w:eastAsia="en-US"/>
              </w:rPr>
              <w:t>u podatkowego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w zakresie dochodów budżetu </w:t>
            </w:r>
            <w:r w:rsidR="00476338">
              <w:rPr>
                <w:rFonts w:ascii="Times New Roman" w:eastAsia="Calibri" w:hAnsi="Times New Roman" w:cs="Times New Roman"/>
                <w:color w:val="000000"/>
                <w:lang w:eastAsia="en-US"/>
              </w:rPr>
              <w:t>P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aństwa z tytułu podatku od towarów i</w:t>
            </w:r>
            <w:r w:rsidR="00476338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usług oraz podatku akcyzowego. Skumulowany efekt wprowadzenia ustawy w ciągu 10 </w:t>
            </w:r>
            <w:r w:rsidR="008F3AA4">
              <w:rPr>
                <w:rFonts w:ascii="Times New Roman" w:eastAsia="Calibri" w:hAnsi="Times New Roman" w:cs="Times New Roman"/>
                <w:color w:val="000000"/>
                <w:lang w:eastAsia="en-US"/>
              </w:rPr>
              <w:t>lat może przynieść ok.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302C1C" w:rsidRPr="00302C1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108 467,5 mln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zł dodatkowych dochodów budżetowych z tytułu podatku od towarów i usług.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99CCFF"/>
          </w:tcPr>
          <w:p w:rsidR="000030E1" w:rsidRPr="00385568" w:rsidRDefault="000030E1" w:rsidP="000030E1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FFFFFF"/>
          </w:tcPr>
          <w:p w:rsidR="000030E1" w:rsidRPr="00385568" w:rsidRDefault="000030E1" w:rsidP="00476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Ustawa</w:t>
            </w:r>
            <w:r w:rsidRPr="0038556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wejdzie w życie 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>z dniem 1 stycznia 2017 r., z wyjątkami, które wejdą w życie od 1 lipca 201</w:t>
            </w:r>
            <w:r w:rsidR="00476338">
              <w:rPr>
                <w:rFonts w:ascii="Times New Roman" w:eastAsia="Calibri" w:hAnsi="Times New Roman" w:cs="Times New Roman"/>
                <w:spacing w:val="-2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 r.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99CCFF"/>
          </w:tcPr>
          <w:p w:rsidR="000030E1" w:rsidRPr="00385568" w:rsidRDefault="000030E1" w:rsidP="000030E1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 xml:space="preserve"> </w:t>
            </w:r>
            <w:r w:rsidRPr="0038556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FFFFFF"/>
          </w:tcPr>
          <w:p w:rsidR="000030E1" w:rsidRPr="00385568" w:rsidRDefault="008F3AA4" w:rsidP="005D3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E</w:t>
            </w:r>
            <w:r w:rsidR="000030E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waluacja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przedmiotowej</w:t>
            </w:r>
            <w:r w:rsidR="000030E1" w:rsidRPr="00385568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ustawy</w:t>
            </w:r>
            <w:r w:rsidR="000030E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zostanie przeprowadzona po roku jej obowiązywania. Jest</w:t>
            </w:r>
            <w:r w:rsidR="005D3BDD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 </w:t>
            </w:r>
            <w:r w:rsidR="000030E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to również warunkowane potrzebą wykorzystania wniosków przy projektowaniu i budowie systemu track&amp;trace,</w:t>
            </w:r>
            <w:r w:rsidR="000030E1">
              <w:t xml:space="preserve"> </w:t>
            </w:r>
            <w:r w:rsidR="000030E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który ma być</w:t>
            </w:r>
            <w:r w:rsidR="000030E1" w:rsidRPr="0007612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wdroż</w:t>
            </w:r>
            <w:r w:rsidR="000030E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ony</w:t>
            </w:r>
            <w:r w:rsidR="000030E1" w:rsidRPr="0007612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w 2019 r. przy produkcji i przesyłaniu wyrobów tytoniowych, </w:t>
            </w:r>
            <w:r w:rsidR="000030E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co </w:t>
            </w:r>
            <w:r w:rsidR="000030E1" w:rsidRPr="0007612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>wynika z</w:t>
            </w:r>
            <w:r w:rsidR="000030E1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wymogów</w:t>
            </w:r>
            <w:r w:rsidR="000030E1" w:rsidRPr="00076125"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  <w:t xml:space="preserve"> unijnej Dyrektywy Tytoniowej.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99CCFF"/>
          </w:tcPr>
          <w:p w:rsidR="000030E1" w:rsidRPr="00385568" w:rsidRDefault="000030E1" w:rsidP="000030E1">
            <w:pPr>
              <w:numPr>
                <w:ilvl w:val="0"/>
                <w:numId w:val="9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</w:pPr>
            <w:r w:rsidRPr="00385568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  <w:t xml:space="preserve">Załączniki </w:t>
            </w:r>
            <w:r w:rsidRPr="0038556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385568">
              <w:rPr>
                <w:rFonts w:ascii="Times New Roman" w:eastAsia="Calibri" w:hAnsi="Times New Roman" w:cs="Times New Roman"/>
                <w:b/>
                <w:color w:val="000000"/>
                <w:spacing w:val="-2"/>
                <w:lang w:eastAsia="en-US"/>
              </w:rPr>
              <w:t xml:space="preserve">) </w:t>
            </w:r>
          </w:p>
        </w:tc>
      </w:tr>
      <w:tr w:rsidR="000030E1" w:rsidRPr="00385568" w:rsidTr="00030232">
        <w:trPr>
          <w:trHeight w:val="142"/>
        </w:trPr>
        <w:tc>
          <w:tcPr>
            <w:tcW w:w="10692" w:type="dxa"/>
            <w:gridSpan w:val="27"/>
            <w:shd w:val="clear" w:color="auto" w:fill="FFFFFF"/>
          </w:tcPr>
          <w:p w:rsidR="000030E1" w:rsidRPr="00385568" w:rsidRDefault="000030E1" w:rsidP="00003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</w:p>
        </w:tc>
      </w:tr>
    </w:tbl>
    <w:p w:rsidR="00B055E7" w:rsidRDefault="00B055E7" w:rsidP="003D33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5F" w:rsidRDefault="0023275F" w:rsidP="007632BF">
      <w:pPr>
        <w:spacing w:after="0" w:line="240" w:lineRule="auto"/>
      </w:pPr>
      <w:r>
        <w:separator/>
      </w:r>
    </w:p>
  </w:endnote>
  <w:endnote w:type="continuationSeparator" w:id="0">
    <w:p w:rsidR="0023275F" w:rsidRDefault="0023275F" w:rsidP="007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5F" w:rsidRDefault="0023275F" w:rsidP="007632BF">
      <w:pPr>
        <w:spacing w:after="0" w:line="240" w:lineRule="auto"/>
      </w:pPr>
      <w:r>
        <w:separator/>
      </w:r>
    </w:p>
  </w:footnote>
  <w:footnote w:type="continuationSeparator" w:id="0">
    <w:p w:rsidR="0023275F" w:rsidRDefault="0023275F" w:rsidP="0076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F6D"/>
    <w:multiLevelType w:val="hybridMultilevel"/>
    <w:tmpl w:val="F9AC0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F4A"/>
    <w:multiLevelType w:val="hybridMultilevel"/>
    <w:tmpl w:val="37E842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8AF"/>
    <w:multiLevelType w:val="hybridMultilevel"/>
    <w:tmpl w:val="5728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7D8"/>
    <w:multiLevelType w:val="hybridMultilevel"/>
    <w:tmpl w:val="DF6CE920"/>
    <w:lvl w:ilvl="0" w:tplc="89667B4A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13F2C60"/>
    <w:multiLevelType w:val="multilevel"/>
    <w:tmpl w:val="268AE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07D47"/>
    <w:multiLevelType w:val="hybridMultilevel"/>
    <w:tmpl w:val="CB2C0E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C014D"/>
    <w:multiLevelType w:val="hybridMultilevel"/>
    <w:tmpl w:val="144AB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14283"/>
    <w:multiLevelType w:val="hybridMultilevel"/>
    <w:tmpl w:val="3BF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65740"/>
    <w:multiLevelType w:val="hybridMultilevel"/>
    <w:tmpl w:val="F6E2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A46"/>
    <w:multiLevelType w:val="hybridMultilevel"/>
    <w:tmpl w:val="977E5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07661"/>
    <w:multiLevelType w:val="hybridMultilevel"/>
    <w:tmpl w:val="3830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96572"/>
    <w:multiLevelType w:val="hybridMultilevel"/>
    <w:tmpl w:val="35D8EC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87827"/>
    <w:multiLevelType w:val="hybridMultilevel"/>
    <w:tmpl w:val="7258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A1"/>
    <w:rsid w:val="000030E1"/>
    <w:rsid w:val="000201AE"/>
    <w:rsid w:val="000214D3"/>
    <w:rsid w:val="00030232"/>
    <w:rsid w:val="00030E3D"/>
    <w:rsid w:val="00042839"/>
    <w:rsid w:val="000455FA"/>
    <w:rsid w:val="00045E47"/>
    <w:rsid w:val="00055B5D"/>
    <w:rsid w:val="00076125"/>
    <w:rsid w:val="00083951"/>
    <w:rsid w:val="00083DDC"/>
    <w:rsid w:val="00092FE5"/>
    <w:rsid w:val="000968B0"/>
    <w:rsid w:val="00096AA4"/>
    <w:rsid w:val="0009766A"/>
    <w:rsid w:val="000A43DD"/>
    <w:rsid w:val="000B07D8"/>
    <w:rsid w:val="000C3FEF"/>
    <w:rsid w:val="000D205A"/>
    <w:rsid w:val="000D3AB2"/>
    <w:rsid w:val="000D6382"/>
    <w:rsid w:val="000F049D"/>
    <w:rsid w:val="000F0786"/>
    <w:rsid w:val="000F2FC5"/>
    <w:rsid w:val="000F33E0"/>
    <w:rsid w:val="000F6ED3"/>
    <w:rsid w:val="00132BD0"/>
    <w:rsid w:val="001509B8"/>
    <w:rsid w:val="00151807"/>
    <w:rsid w:val="00153CDC"/>
    <w:rsid w:val="00154386"/>
    <w:rsid w:val="0017785E"/>
    <w:rsid w:val="00180B1D"/>
    <w:rsid w:val="001912D8"/>
    <w:rsid w:val="001929B3"/>
    <w:rsid w:val="001A042E"/>
    <w:rsid w:val="001B7196"/>
    <w:rsid w:val="001C6FB5"/>
    <w:rsid w:val="001C72EC"/>
    <w:rsid w:val="001D26D6"/>
    <w:rsid w:val="001D624A"/>
    <w:rsid w:val="001F24C6"/>
    <w:rsid w:val="00207803"/>
    <w:rsid w:val="00222D69"/>
    <w:rsid w:val="002263DA"/>
    <w:rsid w:val="00231D1F"/>
    <w:rsid w:val="0023275F"/>
    <w:rsid w:val="00245516"/>
    <w:rsid w:val="0025679A"/>
    <w:rsid w:val="002703D2"/>
    <w:rsid w:val="002761A2"/>
    <w:rsid w:val="00287348"/>
    <w:rsid w:val="00287E82"/>
    <w:rsid w:val="0029176C"/>
    <w:rsid w:val="00296286"/>
    <w:rsid w:val="002A094F"/>
    <w:rsid w:val="002A4BC7"/>
    <w:rsid w:val="002A5630"/>
    <w:rsid w:val="002B3FB4"/>
    <w:rsid w:val="002C0710"/>
    <w:rsid w:val="002C167C"/>
    <w:rsid w:val="002C4FCB"/>
    <w:rsid w:val="002C7290"/>
    <w:rsid w:val="002E5622"/>
    <w:rsid w:val="002F72B7"/>
    <w:rsid w:val="00302C1C"/>
    <w:rsid w:val="00312F1A"/>
    <w:rsid w:val="003201D9"/>
    <w:rsid w:val="003448BF"/>
    <w:rsid w:val="00354E34"/>
    <w:rsid w:val="00385568"/>
    <w:rsid w:val="00390690"/>
    <w:rsid w:val="003907CA"/>
    <w:rsid w:val="00394D8F"/>
    <w:rsid w:val="003A13C3"/>
    <w:rsid w:val="003C2825"/>
    <w:rsid w:val="003C4B81"/>
    <w:rsid w:val="003C66F3"/>
    <w:rsid w:val="003C71ED"/>
    <w:rsid w:val="003D3367"/>
    <w:rsid w:val="003D33D5"/>
    <w:rsid w:val="003D6587"/>
    <w:rsid w:val="003D7BA6"/>
    <w:rsid w:val="003D7F28"/>
    <w:rsid w:val="003F281D"/>
    <w:rsid w:val="004114F7"/>
    <w:rsid w:val="004208F2"/>
    <w:rsid w:val="004233A6"/>
    <w:rsid w:val="004320EF"/>
    <w:rsid w:val="004429F6"/>
    <w:rsid w:val="00442FBD"/>
    <w:rsid w:val="0044405B"/>
    <w:rsid w:val="00445DD9"/>
    <w:rsid w:val="00447C9A"/>
    <w:rsid w:val="00452AE4"/>
    <w:rsid w:val="0045368F"/>
    <w:rsid w:val="00462AAE"/>
    <w:rsid w:val="00462D00"/>
    <w:rsid w:val="00466B34"/>
    <w:rsid w:val="00466E18"/>
    <w:rsid w:val="00476338"/>
    <w:rsid w:val="0049122A"/>
    <w:rsid w:val="004A0E8D"/>
    <w:rsid w:val="004B1A9B"/>
    <w:rsid w:val="004B63FE"/>
    <w:rsid w:val="004C008B"/>
    <w:rsid w:val="004C53A8"/>
    <w:rsid w:val="004D1FA6"/>
    <w:rsid w:val="004D428E"/>
    <w:rsid w:val="004E1BB6"/>
    <w:rsid w:val="00504A90"/>
    <w:rsid w:val="005059CF"/>
    <w:rsid w:val="00525274"/>
    <w:rsid w:val="00527B74"/>
    <w:rsid w:val="0053277E"/>
    <w:rsid w:val="00541561"/>
    <w:rsid w:val="00541DAB"/>
    <w:rsid w:val="00560DAC"/>
    <w:rsid w:val="00575FB7"/>
    <w:rsid w:val="005851E4"/>
    <w:rsid w:val="00597AF8"/>
    <w:rsid w:val="005A24EA"/>
    <w:rsid w:val="005A631A"/>
    <w:rsid w:val="005C3AEE"/>
    <w:rsid w:val="005C5E7E"/>
    <w:rsid w:val="005C723D"/>
    <w:rsid w:val="005D3BDD"/>
    <w:rsid w:val="005D569B"/>
    <w:rsid w:val="005D7F83"/>
    <w:rsid w:val="005E07E3"/>
    <w:rsid w:val="005E1544"/>
    <w:rsid w:val="005E578B"/>
    <w:rsid w:val="005E7164"/>
    <w:rsid w:val="00602D67"/>
    <w:rsid w:val="00603243"/>
    <w:rsid w:val="006278D6"/>
    <w:rsid w:val="006311CE"/>
    <w:rsid w:val="006545EE"/>
    <w:rsid w:val="00662961"/>
    <w:rsid w:val="00667BC9"/>
    <w:rsid w:val="00684F6C"/>
    <w:rsid w:val="00690FE0"/>
    <w:rsid w:val="006912FE"/>
    <w:rsid w:val="00693B50"/>
    <w:rsid w:val="00696B0A"/>
    <w:rsid w:val="006A0FF9"/>
    <w:rsid w:val="006A2936"/>
    <w:rsid w:val="006A5A74"/>
    <w:rsid w:val="006A7525"/>
    <w:rsid w:val="006B19F5"/>
    <w:rsid w:val="006E1747"/>
    <w:rsid w:val="006E283B"/>
    <w:rsid w:val="006E43E9"/>
    <w:rsid w:val="00705E0D"/>
    <w:rsid w:val="00713B9E"/>
    <w:rsid w:val="00717F8C"/>
    <w:rsid w:val="00732AE2"/>
    <w:rsid w:val="007632BF"/>
    <w:rsid w:val="00763828"/>
    <w:rsid w:val="00767EF5"/>
    <w:rsid w:val="0077110C"/>
    <w:rsid w:val="00783340"/>
    <w:rsid w:val="007868D1"/>
    <w:rsid w:val="00790F0B"/>
    <w:rsid w:val="007B5B95"/>
    <w:rsid w:val="007B6AF9"/>
    <w:rsid w:val="007C0F38"/>
    <w:rsid w:val="007E1A4E"/>
    <w:rsid w:val="007F7662"/>
    <w:rsid w:val="008017B8"/>
    <w:rsid w:val="00806B05"/>
    <w:rsid w:val="00811898"/>
    <w:rsid w:val="008177A1"/>
    <w:rsid w:val="0081797E"/>
    <w:rsid w:val="008342BF"/>
    <w:rsid w:val="008351F0"/>
    <w:rsid w:val="008435CD"/>
    <w:rsid w:val="00856E2D"/>
    <w:rsid w:val="0087078D"/>
    <w:rsid w:val="00873A6A"/>
    <w:rsid w:val="00890128"/>
    <w:rsid w:val="008953A9"/>
    <w:rsid w:val="008A2669"/>
    <w:rsid w:val="008B1C9E"/>
    <w:rsid w:val="008C0844"/>
    <w:rsid w:val="008C49C4"/>
    <w:rsid w:val="008D08AB"/>
    <w:rsid w:val="008D321F"/>
    <w:rsid w:val="008D6294"/>
    <w:rsid w:val="008E2BFB"/>
    <w:rsid w:val="008F074C"/>
    <w:rsid w:val="008F2DC8"/>
    <w:rsid w:val="008F3AA4"/>
    <w:rsid w:val="00901FE7"/>
    <w:rsid w:val="0090332F"/>
    <w:rsid w:val="00906EDE"/>
    <w:rsid w:val="009070B5"/>
    <w:rsid w:val="00924B94"/>
    <w:rsid w:val="0092538A"/>
    <w:rsid w:val="00932D0D"/>
    <w:rsid w:val="00951389"/>
    <w:rsid w:val="00953BB0"/>
    <w:rsid w:val="00973F55"/>
    <w:rsid w:val="00974B44"/>
    <w:rsid w:val="0098681A"/>
    <w:rsid w:val="0098723C"/>
    <w:rsid w:val="00993879"/>
    <w:rsid w:val="009A5AE0"/>
    <w:rsid w:val="009A75A1"/>
    <w:rsid w:val="009B6FB4"/>
    <w:rsid w:val="009B7832"/>
    <w:rsid w:val="009D3DAD"/>
    <w:rsid w:val="009E6939"/>
    <w:rsid w:val="009F07C2"/>
    <w:rsid w:val="009F494F"/>
    <w:rsid w:val="00A11327"/>
    <w:rsid w:val="00A13D7F"/>
    <w:rsid w:val="00A1758F"/>
    <w:rsid w:val="00A179A9"/>
    <w:rsid w:val="00A2290C"/>
    <w:rsid w:val="00A33754"/>
    <w:rsid w:val="00A36D62"/>
    <w:rsid w:val="00A61170"/>
    <w:rsid w:val="00A61D07"/>
    <w:rsid w:val="00A7039B"/>
    <w:rsid w:val="00A71EC4"/>
    <w:rsid w:val="00A776E7"/>
    <w:rsid w:val="00A93AB5"/>
    <w:rsid w:val="00AA1EC4"/>
    <w:rsid w:val="00AA23D9"/>
    <w:rsid w:val="00AB2235"/>
    <w:rsid w:val="00AB22C7"/>
    <w:rsid w:val="00AF6AFA"/>
    <w:rsid w:val="00B033CE"/>
    <w:rsid w:val="00B03D21"/>
    <w:rsid w:val="00B055E7"/>
    <w:rsid w:val="00B06806"/>
    <w:rsid w:val="00B16C93"/>
    <w:rsid w:val="00B16E1B"/>
    <w:rsid w:val="00B21526"/>
    <w:rsid w:val="00B22A3A"/>
    <w:rsid w:val="00B2447C"/>
    <w:rsid w:val="00B2644E"/>
    <w:rsid w:val="00B46DEC"/>
    <w:rsid w:val="00B60596"/>
    <w:rsid w:val="00B6382B"/>
    <w:rsid w:val="00B6675C"/>
    <w:rsid w:val="00B70637"/>
    <w:rsid w:val="00B73FE5"/>
    <w:rsid w:val="00B80155"/>
    <w:rsid w:val="00B803C2"/>
    <w:rsid w:val="00B80B96"/>
    <w:rsid w:val="00B82B7B"/>
    <w:rsid w:val="00B83993"/>
    <w:rsid w:val="00B83B94"/>
    <w:rsid w:val="00B843F8"/>
    <w:rsid w:val="00B87F5A"/>
    <w:rsid w:val="00B92B72"/>
    <w:rsid w:val="00BA5186"/>
    <w:rsid w:val="00BB2606"/>
    <w:rsid w:val="00BC2826"/>
    <w:rsid w:val="00BD5088"/>
    <w:rsid w:val="00BE01B6"/>
    <w:rsid w:val="00BE0758"/>
    <w:rsid w:val="00BE1A17"/>
    <w:rsid w:val="00BE3638"/>
    <w:rsid w:val="00BE507C"/>
    <w:rsid w:val="00BF0FC6"/>
    <w:rsid w:val="00BF79C1"/>
    <w:rsid w:val="00C01416"/>
    <w:rsid w:val="00C10C48"/>
    <w:rsid w:val="00C22BC2"/>
    <w:rsid w:val="00C6412F"/>
    <w:rsid w:val="00C67592"/>
    <w:rsid w:val="00C83D28"/>
    <w:rsid w:val="00C9062C"/>
    <w:rsid w:val="00CA15C0"/>
    <w:rsid w:val="00CA21F2"/>
    <w:rsid w:val="00CB4FA8"/>
    <w:rsid w:val="00CB5452"/>
    <w:rsid w:val="00CB6C27"/>
    <w:rsid w:val="00CD5F89"/>
    <w:rsid w:val="00D04B85"/>
    <w:rsid w:val="00D11D91"/>
    <w:rsid w:val="00D30E85"/>
    <w:rsid w:val="00D34BDC"/>
    <w:rsid w:val="00D37E41"/>
    <w:rsid w:val="00D404E9"/>
    <w:rsid w:val="00D419DF"/>
    <w:rsid w:val="00D4201D"/>
    <w:rsid w:val="00D51FFB"/>
    <w:rsid w:val="00D54AAB"/>
    <w:rsid w:val="00D6247A"/>
    <w:rsid w:val="00D640B0"/>
    <w:rsid w:val="00D71200"/>
    <w:rsid w:val="00D72458"/>
    <w:rsid w:val="00D90781"/>
    <w:rsid w:val="00D924BA"/>
    <w:rsid w:val="00DA27B6"/>
    <w:rsid w:val="00DA6BEE"/>
    <w:rsid w:val="00DC44BE"/>
    <w:rsid w:val="00DD79F7"/>
    <w:rsid w:val="00DE1F7A"/>
    <w:rsid w:val="00DE25E8"/>
    <w:rsid w:val="00DE579D"/>
    <w:rsid w:val="00DF3384"/>
    <w:rsid w:val="00DF392A"/>
    <w:rsid w:val="00DF56CE"/>
    <w:rsid w:val="00DF61DF"/>
    <w:rsid w:val="00E0469E"/>
    <w:rsid w:val="00E16B02"/>
    <w:rsid w:val="00E212FD"/>
    <w:rsid w:val="00E21474"/>
    <w:rsid w:val="00E32FDA"/>
    <w:rsid w:val="00E36D6F"/>
    <w:rsid w:val="00E556EF"/>
    <w:rsid w:val="00E60ED7"/>
    <w:rsid w:val="00E74167"/>
    <w:rsid w:val="00E87089"/>
    <w:rsid w:val="00E90A48"/>
    <w:rsid w:val="00E911EC"/>
    <w:rsid w:val="00E96EF7"/>
    <w:rsid w:val="00EA56B4"/>
    <w:rsid w:val="00EB0006"/>
    <w:rsid w:val="00EB0255"/>
    <w:rsid w:val="00EB440D"/>
    <w:rsid w:val="00EB5BCC"/>
    <w:rsid w:val="00ED68FD"/>
    <w:rsid w:val="00EE4DFF"/>
    <w:rsid w:val="00EE7907"/>
    <w:rsid w:val="00F1149F"/>
    <w:rsid w:val="00F13704"/>
    <w:rsid w:val="00F13DD7"/>
    <w:rsid w:val="00F2444A"/>
    <w:rsid w:val="00F2639F"/>
    <w:rsid w:val="00F32199"/>
    <w:rsid w:val="00F3255A"/>
    <w:rsid w:val="00F442A1"/>
    <w:rsid w:val="00F45EEE"/>
    <w:rsid w:val="00F465C6"/>
    <w:rsid w:val="00F50652"/>
    <w:rsid w:val="00F6738A"/>
    <w:rsid w:val="00F70E4C"/>
    <w:rsid w:val="00F8380A"/>
    <w:rsid w:val="00F86EC5"/>
    <w:rsid w:val="00F876C6"/>
    <w:rsid w:val="00F96EC1"/>
    <w:rsid w:val="00FA7E02"/>
    <w:rsid w:val="00FB24B0"/>
    <w:rsid w:val="00FB7435"/>
    <w:rsid w:val="00FC15AE"/>
    <w:rsid w:val="00FC56E9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4A9B-2184-4D90-B380-756FB095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5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D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D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D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9012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128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nhideWhenUsed/>
    <w:rsid w:val="005059CF"/>
    <w:rPr>
      <w:color w:val="0000FF"/>
      <w:u w:val="single"/>
    </w:rPr>
  </w:style>
  <w:style w:type="paragraph" w:customStyle="1" w:styleId="PKTpunkt">
    <w:name w:val="PKT – punkt"/>
    <w:uiPriority w:val="13"/>
    <w:qFormat/>
    <w:rsid w:val="005059C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5059CF"/>
    <w:rPr>
      <w:b/>
      <w:bCs w:val="0"/>
    </w:rPr>
  </w:style>
  <w:style w:type="paragraph" w:styleId="Akapitzlist">
    <w:name w:val="List Paragraph"/>
    <w:basedOn w:val="Normalny"/>
    <w:uiPriority w:val="34"/>
    <w:qFormat/>
    <w:rsid w:val="00A11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BF"/>
  </w:style>
  <w:style w:type="paragraph" w:styleId="Stopka">
    <w:name w:val="footer"/>
    <w:basedOn w:val="Normalny"/>
    <w:link w:val="StopkaZnak"/>
    <w:uiPriority w:val="99"/>
    <w:unhideWhenUsed/>
    <w:rsid w:val="0076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2B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C0F38"/>
  </w:style>
  <w:style w:type="character" w:styleId="Uwydatnienie">
    <w:name w:val="Emphasis"/>
    <w:basedOn w:val="Domylnaczcionkaakapitu"/>
    <w:uiPriority w:val="20"/>
    <w:qFormat/>
    <w:rsid w:val="007C0F38"/>
    <w:rPr>
      <w:i/>
      <w:iCs/>
    </w:rPr>
  </w:style>
  <w:style w:type="paragraph" w:styleId="Poprawka">
    <w:name w:val="Revision"/>
    <w:hidden/>
    <w:uiPriority w:val="99"/>
    <w:semiHidden/>
    <w:rsid w:val="0044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3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54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23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5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michalski2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908B-1104-49C8-BF90-CFFA3232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3155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Fellmann Alicja</dc:creator>
  <cp:lastModifiedBy>Michalski Robert 2</cp:lastModifiedBy>
  <cp:revision>3</cp:revision>
  <cp:lastPrinted>2016-10-28T13:48:00Z</cp:lastPrinted>
  <dcterms:created xsi:type="dcterms:W3CDTF">2016-11-09T08:22:00Z</dcterms:created>
  <dcterms:modified xsi:type="dcterms:W3CDTF">2016-11-09T08:32:00Z</dcterms:modified>
</cp:coreProperties>
</file>