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866" w:tblpY="627"/>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3"/>
        <w:gridCol w:w="383"/>
        <w:gridCol w:w="688"/>
        <w:gridCol w:w="21"/>
        <w:gridCol w:w="567"/>
        <w:gridCol w:w="141"/>
        <w:gridCol w:w="492"/>
        <w:gridCol w:w="76"/>
        <w:gridCol w:w="712"/>
        <w:gridCol w:w="283"/>
        <w:gridCol w:w="151"/>
        <w:gridCol w:w="274"/>
        <w:gridCol w:w="380"/>
        <w:gridCol w:w="471"/>
        <w:gridCol w:w="395"/>
        <w:gridCol w:w="72"/>
        <w:gridCol w:w="242"/>
        <w:gridCol w:w="289"/>
        <w:gridCol w:w="406"/>
        <w:gridCol w:w="13"/>
        <w:gridCol w:w="303"/>
        <w:gridCol w:w="548"/>
        <w:gridCol w:w="74"/>
        <w:gridCol w:w="542"/>
        <w:gridCol w:w="396"/>
        <w:gridCol w:w="1180"/>
      </w:tblGrid>
      <w:tr w:rsidR="00385568" w:rsidRPr="00385568" w:rsidTr="00030232">
        <w:trPr>
          <w:trHeight w:val="1611"/>
        </w:trPr>
        <w:tc>
          <w:tcPr>
            <w:tcW w:w="6628" w:type="dxa"/>
            <w:gridSpan w:val="15"/>
          </w:tcPr>
          <w:p w:rsidR="00385568" w:rsidRPr="007C0F38" w:rsidRDefault="00385568" w:rsidP="00E96EF7">
            <w:pPr>
              <w:spacing w:before="120" w:after="0" w:line="240" w:lineRule="auto"/>
              <w:rPr>
                <w:rFonts w:ascii="Times New Roman" w:eastAsia="Calibri" w:hAnsi="Times New Roman" w:cs="Times New Roman"/>
                <w:color w:val="000000"/>
                <w:lang w:eastAsia="en-US"/>
              </w:rPr>
            </w:pPr>
            <w:bookmarkStart w:id="0" w:name="t1"/>
            <w:r w:rsidRPr="007C0F38">
              <w:rPr>
                <w:rFonts w:ascii="Times New Roman" w:eastAsia="Calibri" w:hAnsi="Times New Roman" w:cs="Times New Roman"/>
                <w:b/>
                <w:color w:val="000000"/>
                <w:lang w:eastAsia="en-US"/>
              </w:rPr>
              <w:t xml:space="preserve">Nazwa </w:t>
            </w:r>
            <w:r w:rsidR="00FD009B">
              <w:t xml:space="preserve"> </w:t>
            </w:r>
            <w:r w:rsidR="00FD009B" w:rsidRPr="00FD009B">
              <w:rPr>
                <w:rFonts w:ascii="Times New Roman" w:eastAsia="Calibri" w:hAnsi="Times New Roman" w:cs="Times New Roman"/>
                <w:b/>
                <w:color w:val="000000"/>
                <w:lang w:eastAsia="en-US"/>
              </w:rPr>
              <w:t>projektu (tytuł)</w:t>
            </w:r>
          </w:p>
          <w:p w:rsidR="00385568" w:rsidRPr="007C0F38" w:rsidRDefault="00010015" w:rsidP="00E96EF7">
            <w:pPr>
              <w:spacing w:after="0" w:line="240" w:lineRule="auto"/>
              <w:ind w:hanging="34"/>
              <w:rPr>
                <w:rFonts w:ascii="Times New Roman" w:eastAsia="Calibri" w:hAnsi="Times New Roman" w:cs="Times New Roman"/>
                <w:b/>
                <w:color w:val="000000"/>
                <w:lang w:eastAsia="en-US"/>
              </w:rPr>
            </w:pPr>
            <w:r w:rsidRPr="00010015">
              <w:rPr>
                <w:rFonts w:ascii="Times New Roman" w:eastAsia="Calibri" w:hAnsi="Times New Roman" w:cs="Times New Roman"/>
                <w:color w:val="000000"/>
                <w:lang w:eastAsia="en-US"/>
              </w:rPr>
              <w:t>w sprawie przewozu towarów, który nie podlega systemowi monitorowania</w:t>
            </w:r>
          </w:p>
          <w:p w:rsidR="00010015" w:rsidRDefault="00010015" w:rsidP="00E96EF7">
            <w:pPr>
              <w:spacing w:after="0" w:line="240" w:lineRule="auto"/>
              <w:ind w:hanging="34"/>
              <w:rPr>
                <w:rFonts w:ascii="Times New Roman" w:eastAsia="Calibri" w:hAnsi="Times New Roman" w:cs="Times New Roman"/>
                <w:b/>
                <w:color w:val="000000"/>
                <w:lang w:eastAsia="en-US"/>
              </w:rPr>
            </w:pPr>
          </w:p>
          <w:p w:rsidR="00FD009B" w:rsidRPr="00FD009B" w:rsidRDefault="00FD009B" w:rsidP="00FD009B">
            <w:pPr>
              <w:spacing w:after="0" w:line="240" w:lineRule="auto"/>
              <w:ind w:hanging="34"/>
              <w:rPr>
                <w:rFonts w:ascii="Times New Roman" w:eastAsia="Calibri" w:hAnsi="Times New Roman" w:cs="Times New Roman"/>
                <w:b/>
                <w:color w:val="000000"/>
                <w:lang w:eastAsia="en-US"/>
              </w:rPr>
            </w:pPr>
            <w:r w:rsidRPr="00FD009B">
              <w:rPr>
                <w:rFonts w:ascii="Times New Roman" w:eastAsia="Calibri" w:hAnsi="Times New Roman" w:cs="Times New Roman"/>
                <w:b/>
                <w:color w:val="000000"/>
                <w:lang w:eastAsia="en-US"/>
              </w:rPr>
              <w:t>Organ odpowiedzialny za opracowanie projektu</w:t>
            </w:r>
          </w:p>
          <w:p w:rsidR="00FD009B" w:rsidRPr="00616787" w:rsidRDefault="00FD009B" w:rsidP="00FD009B">
            <w:pPr>
              <w:spacing w:after="0" w:line="240" w:lineRule="auto"/>
              <w:ind w:hanging="34"/>
              <w:rPr>
                <w:rFonts w:ascii="Times New Roman" w:eastAsia="Calibri" w:hAnsi="Times New Roman" w:cs="Times New Roman"/>
                <w:color w:val="000000"/>
                <w:lang w:eastAsia="en-US"/>
              </w:rPr>
            </w:pPr>
            <w:r w:rsidRPr="00616787">
              <w:rPr>
                <w:rFonts w:ascii="Times New Roman" w:eastAsia="Calibri" w:hAnsi="Times New Roman" w:cs="Times New Roman"/>
                <w:color w:val="000000"/>
                <w:lang w:eastAsia="en-US"/>
              </w:rPr>
              <w:t>Minister Rozwoju i Finansów</w:t>
            </w:r>
            <w:bookmarkEnd w:id="0"/>
          </w:p>
          <w:p w:rsidR="00FD009B" w:rsidRDefault="00FD009B" w:rsidP="00FD009B">
            <w:pPr>
              <w:spacing w:after="0" w:line="240" w:lineRule="auto"/>
              <w:ind w:hanging="34"/>
              <w:rPr>
                <w:rFonts w:ascii="Times New Roman" w:eastAsia="Calibri" w:hAnsi="Times New Roman" w:cs="Times New Roman"/>
                <w:color w:val="000000"/>
                <w:lang w:eastAsia="en-US"/>
              </w:rPr>
            </w:pPr>
          </w:p>
          <w:p w:rsidR="00FD009B" w:rsidRPr="00FD009B" w:rsidRDefault="00FD009B" w:rsidP="00FD009B">
            <w:pPr>
              <w:spacing w:after="0" w:line="240" w:lineRule="auto"/>
              <w:ind w:hanging="34"/>
              <w:rPr>
                <w:rFonts w:ascii="Times New Roman" w:eastAsia="Calibri" w:hAnsi="Times New Roman" w:cs="Times New Roman"/>
                <w:color w:val="000000"/>
                <w:lang w:eastAsia="en-US"/>
              </w:rPr>
            </w:pPr>
            <w:r w:rsidRPr="00FD009B">
              <w:rPr>
                <w:rFonts w:ascii="Times New Roman" w:eastAsia="Calibri" w:hAnsi="Times New Roman" w:cs="Times New Roman"/>
                <w:b/>
                <w:lang w:eastAsia="en-US"/>
              </w:rPr>
              <w:t>Osoba odpowiedzialna za opracowanie projektu</w:t>
            </w:r>
          </w:p>
          <w:p w:rsidR="00FD009B" w:rsidRPr="00FD009B" w:rsidRDefault="00FD009B" w:rsidP="00FD009B">
            <w:pPr>
              <w:spacing w:before="120" w:after="0" w:line="240" w:lineRule="auto"/>
              <w:ind w:hanging="45"/>
              <w:rPr>
                <w:rFonts w:ascii="Times New Roman" w:eastAsia="Calibri" w:hAnsi="Times New Roman" w:cs="Times New Roman"/>
                <w:lang w:eastAsia="en-US"/>
              </w:rPr>
            </w:pPr>
            <w:r w:rsidRPr="00FD009B">
              <w:rPr>
                <w:rFonts w:ascii="Times New Roman" w:eastAsia="Calibri" w:hAnsi="Times New Roman" w:cs="Times New Roman"/>
                <w:lang w:eastAsia="en-US"/>
              </w:rPr>
              <w:t>Marian Banaś Podsekretarz Stanu w Ministerstwie Finansów</w:t>
            </w:r>
          </w:p>
          <w:p w:rsidR="00FD009B" w:rsidRPr="00FD009B" w:rsidRDefault="00FD009B" w:rsidP="00FD009B">
            <w:pPr>
              <w:spacing w:before="120" w:after="0" w:line="240" w:lineRule="auto"/>
              <w:ind w:hanging="45"/>
              <w:rPr>
                <w:rFonts w:ascii="Times New Roman" w:eastAsia="Calibri" w:hAnsi="Times New Roman" w:cs="Times New Roman"/>
                <w:lang w:eastAsia="en-US"/>
              </w:rPr>
            </w:pPr>
          </w:p>
          <w:p w:rsidR="00385568" w:rsidRPr="007C0F38" w:rsidRDefault="00385568" w:rsidP="00FD009B">
            <w:pPr>
              <w:spacing w:before="120" w:after="0" w:line="240" w:lineRule="auto"/>
              <w:ind w:hanging="45"/>
              <w:rPr>
                <w:rFonts w:ascii="Times New Roman" w:eastAsia="Calibri" w:hAnsi="Times New Roman" w:cs="Times New Roman"/>
                <w:b/>
                <w:color w:val="000000"/>
                <w:lang w:eastAsia="en-US"/>
              </w:rPr>
            </w:pPr>
            <w:r w:rsidRPr="007C0F38">
              <w:rPr>
                <w:rFonts w:ascii="Times New Roman" w:eastAsia="Calibri" w:hAnsi="Times New Roman" w:cs="Times New Roman"/>
                <w:b/>
                <w:color w:val="000000"/>
                <w:lang w:eastAsia="en-US"/>
              </w:rPr>
              <w:t>Kontakt do opiekuna merytorycznego projektu</w:t>
            </w:r>
          </w:p>
          <w:p w:rsidR="00FD009B" w:rsidRPr="00FD009B" w:rsidRDefault="00FD009B" w:rsidP="00FD009B">
            <w:pPr>
              <w:spacing w:after="0" w:line="240" w:lineRule="auto"/>
              <w:ind w:left="45" w:hanging="45"/>
              <w:rPr>
                <w:rFonts w:ascii="Times New Roman" w:eastAsia="Calibri" w:hAnsi="Times New Roman" w:cs="Times New Roman"/>
                <w:color w:val="000000"/>
                <w:lang w:eastAsia="en-US"/>
              </w:rPr>
            </w:pPr>
            <w:r w:rsidRPr="00FD009B">
              <w:rPr>
                <w:rFonts w:ascii="Times New Roman" w:eastAsia="Calibri" w:hAnsi="Times New Roman" w:cs="Times New Roman"/>
                <w:color w:val="000000"/>
                <w:lang w:eastAsia="en-US"/>
              </w:rPr>
              <w:t>Robert Michalski, Naczelnik Wydziału Organizacji Służby Celnej w Departamencie Służby Celnej Ministerstwa Finansów</w:t>
            </w:r>
          </w:p>
          <w:p w:rsidR="00FD009B" w:rsidRPr="00FD009B" w:rsidRDefault="00FD009B" w:rsidP="00FD009B">
            <w:pPr>
              <w:spacing w:after="0" w:line="240" w:lineRule="auto"/>
              <w:ind w:left="45" w:hanging="45"/>
              <w:rPr>
                <w:rFonts w:ascii="Times New Roman" w:eastAsia="Calibri" w:hAnsi="Times New Roman" w:cs="Times New Roman"/>
                <w:color w:val="000000"/>
                <w:lang w:eastAsia="en-US"/>
              </w:rPr>
            </w:pPr>
            <w:r w:rsidRPr="00FD009B">
              <w:rPr>
                <w:rFonts w:ascii="Times New Roman" w:eastAsia="Calibri" w:hAnsi="Times New Roman" w:cs="Times New Roman"/>
                <w:color w:val="000000"/>
                <w:lang w:eastAsia="en-US"/>
              </w:rPr>
              <w:t>(22) 694-33-62</w:t>
            </w:r>
          </w:p>
          <w:p w:rsidR="00385568" w:rsidRPr="00FD009B" w:rsidRDefault="00FD009B" w:rsidP="00FD009B">
            <w:pPr>
              <w:spacing w:after="0" w:line="240" w:lineRule="auto"/>
              <w:ind w:left="45" w:hanging="45"/>
              <w:rPr>
                <w:rFonts w:ascii="Times New Roman" w:eastAsia="Calibri" w:hAnsi="Times New Roman" w:cs="Times New Roman"/>
                <w:color w:val="000000"/>
                <w:lang w:eastAsia="en-US"/>
              </w:rPr>
            </w:pPr>
            <w:r w:rsidRPr="00FD009B">
              <w:rPr>
                <w:rFonts w:ascii="Times New Roman" w:eastAsia="Calibri" w:hAnsi="Times New Roman" w:cs="Times New Roman"/>
                <w:color w:val="000000"/>
                <w:lang w:eastAsia="en-US"/>
              </w:rPr>
              <w:t>robert.michalski2@mf.gov.pl</w:t>
            </w:r>
          </w:p>
        </w:tc>
        <w:tc>
          <w:tcPr>
            <w:tcW w:w="4064" w:type="dxa"/>
            <w:gridSpan w:val="11"/>
            <w:shd w:val="clear" w:color="auto" w:fill="FFFFFF"/>
          </w:tcPr>
          <w:p w:rsidR="00385568" w:rsidRPr="007C0F38" w:rsidRDefault="00385568" w:rsidP="00E96EF7">
            <w:pPr>
              <w:spacing w:after="0" w:line="240" w:lineRule="auto"/>
              <w:rPr>
                <w:rFonts w:ascii="Times New Roman" w:eastAsia="Calibri" w:hAnsi="Times New Roman" w:cs="Times New Roman"/>
                <w:b/>
                <w:lang w:eastAsia="en-US"/>
              </w:rPr>
            </w:pPr>
            <w:r w:rsidRPr="007C0F38">
              <w:rPr>
                <w:rFonts w:ascii="Times New Roman" w:eastAsia="Calibri" w:hAnsi="Times New Roman" w:cs="Times New Roman"/>
                <w:b/>
                <w:lang w:eastAsia="en-US"/>
              </w:rPr>
              <w:t>Data sporządzenia</w:t>
            </w:r>
            <w:r w:rsidRPr="007C0F38">
              <w:rPr>
                <w:rFonts w:ascii="Times New Roman" w:eastAsia="Calibri" w:hAnsi="Times New Roman" w:cs="Times New Roman"/>
                <w:b/>
                <w:lang w:eastAsia="en-US"/>
              </w:rPr>
              <w:br/>
            </w:r>
            <w:r w:rsidR="00900D6F">
              <w:rPr>
                <w:rFonts w:ascii="Times New Roman" w:eastAsia="Calibri" w:hAnsi="Times New Roman" w:cs="Times New Roman"/>
                <w:lang w:eastAsia="en-US"/>
              </w:rPr>
              <w:t>09</w:t>
            </w:r>
            <w:r w:rsidR="00D34BDC">
              <w:rPr>
                <w:rFonts w:ascii="Times New Roman" w:eastAsia="Calibri" w:hAnsi="Times New Roman" w:cs="Times New Roman"/>
                <w:lang w:eastAsia="en-US"/>
              </w:rPr>
              <w:t>.1</w:t>
            </w:r>
            <w:r w:rsidR="00900D6F">
              <w:rPr>
                <w:rFonts w:ascii="Times New Roman" w:eastAsia="Calibri" w:hAnsi="Times New Roman" w:cs="Times New Roman"/>
                <w:lang w:eastAsia="en-US"/>
              </w:rPr>
              <w:t>1</w:t>
            </w:r>
            <w:r w:rsidRPr="007C0F38">
              <w:rPr>
                <w:rFonts w:ascii="Times New Roman" w:eastAsia="Calibri" w:hAnsi="Times New Roman" w:cs="Times New Roman"/>
                <w:lang w:eastAsia="en-US"/>
              </w:rPr>
              <w:t>.2016</w:t>
            </w:r>
            <w:r w:rsidR="00447C9A">
              <w:rPr>
                <w:rFonts w:ascii="Times New Roman" w:eastAsia="Calibri" w:hAnsi="Times New Roman" w:cs="Times New Roman"/>
                <w:lang w:eastAsia="en-US"/>
              </w:rPr>
              <w:t xml:space="preserve"> r.</w:t>
            </w:r>
          </w:p>
          <w:p w:rsidR="00385568" w:rsidRPr="007C0F38" w:rsidRDefault="00385568" w:rsidP="00E96EF7">
            <w:pPr>
              <w:spacing w:after="0" w:line="240" w:lineRule="auto"/>
              <w:rPr>
                <w:rFonts w:ascii="Times New Roman" w:eastAsia="Calibri" w:hAnsi="Times New Roman" w:cs="Times New Roman"/>
                <w:b/>
                <w:lang w:eastAsia="en-US"/>
              </w:rPr>
            </w:pPr>
          </w:p>
          <w:p w:rsidR="00FD009B" w:rsidRDefault="00FD009B" w:rsidP="00E96EF7">
            <w:pPr>
              <w:spacing w:after="0" w:line="240" w:lineRule="auto"/>
              <w:rPr>
                <w:rFonts w:ascii="Times New Roman" w:eastAsia="Calibri" w:hAnsi="Times New Roman" w:cs="Times New Roman"/>
                <w:b/>
                <w:lang w:eastAsia="en-US"/>
              </w:rPr>
            </w:pPr>
          </w:p>
          <w:p w:rsidR="00FD009B" w:rsidRDefault="00FD009B" w:rsidP="00E96EF7">
            <w:pPr>
              <w:spacing w:after="0" w:line="240" w:lineRule="auto"/>
              <w:rPr>
                <w:rFonts w:ascii="Times New Roman" w:eastAsia="Calibri" w:hAnsi="Times New Roman" w:cs="Times New Roman"/>
                <w:b/>
                <w:lang w:eastAsia="en-US"/>
              </w:rPr>
            </w:pPr>
          </w:p>
          <w:p w:rsidR="00FD009B" w:rsidRDefault="00FD009B" w:rsidP="00E96EF7">
            <w:pPr>
              <w:spacing w:after="0" w:line="240" w:lineRule="auto"/>
              <w:rPr>
                <w:rFonts w:ascii="Times New Roman" w:eastAsia="Calibri" w:hAnsi="Times New Roman" w:cs="Times New Roman"/>
                <w:b/>
                <w:lang w:eastAsia="en-US"/>
              </w:rPr>
            </w:pPr>
          </w:p>
          <w:p w:rsidR="00385568" w:rsidRPr="007C0F38" w:rsidRDefault="00385568" w:rsidP="00E96EF7">
            <w:pPr>
              <w:spacing w:after="0" w:line="240" w:lineRule="auto"/>
              <w:rPr>
                <w:rFonts w:ascii="Times New Roman" w:eastAsia="Calibri" w:hAnsi="Times New Roman" w:cs="Times New Roman"/>
                <w:b/>
                <w:lang w:eastAsia="en-US"/>
              </w:rPr>
            </w:pPr>
            <w:r w:rsidRPr="007C0F38">
              <w:rPr>
                <w:rFonts w:ascii="Times New Roman" w:eastAsia="Calibri" w:hAnsi="Times New Roman" w:cs="Times New Roman"/>
                <w:b/>
                <w:lang w:eastAsia="en-US"/>
              </w:rPr>
              <w:t xml:space="preserve">Źródło: </w:t>
            </w:r>
            <w:bookmarkStart w:id="1" w:name="Lista1"/>
          </w:p>
          <w:bookmarkEnd w:id="1"/>
          <w:p w:rsidR="00FD009B" w:rsidRPr="00900D6F" w:rsidRDefault="00900D6F" w:rsidP="00E96EF7">
            <w:pPr>
              <w:spacing w:before="120" w:after="0" w:line="240" w:lineRule="auto"/>
              <w:rPr>
                <w:rFonts w:ascii="Times New Roman" w:eastAsia="Calibri" w:hAnsi="Times New Roman" w:cs="Times New Roman"/>
                <w:color w:val="000000"/>
                <w:lang w:eastAsia="en-US"/>
              </w:rPr>
            </w:pPr>
            <w:r w:rsidRPr="00900D6F">
              <w:rPr>
                <w:rFonts w:ascii="Times New Roman" w:eastAsia="Calibri" w:hAnsi="Times New Roman" w:cs="Times New Roman"/>
                <w:color w:val="000000"/>
                <w:lang w:eastAsia="en-US"/>
              </w:rPr>
              <w:t>art. 3 ust. 2</w:t>
            </w:r>
            <w:r>
              <w:rPr>
                <w:rFonts w:ascii="Times New Roman" w:eastAsia="Calibri" w:hAnsi="Times New Roman" w:cs="Times New Roman"/>
                <w:color w:val="000000"/>
                <w:lang w:eastAsia="en-US"/>
              </w:rPr>
              <w:t xml:space="preserve"> ustawy o monitorowaniu drogowego przewozu towarów</w:t>
            </w:r>
          </w:p>
          <w:p w:rsidR="00FD009B" w:rsidRDefault="00FD009B" w:rsidP="00E96EF7">
            <w:pPr>
              <w:spacing w:before="120" w:after="0" w:line="240" w:lineRule="auto"/>
              <w:rPr>
                <w:rFonts w:ascii="Times New Roman" w:eastAsia="Calibri" w:hAnsi="Times New Roman" w:cs="Times New Roman"/>
                <w:b/>
                <w:color w:val="000000"/>
                <w:lang w:eastAsia="en-US"/>
              </w:rPr>
            </w:pPr>
          </w:p>
          <w:p w:rsidR="00385568" w:rsidRPr="007C0F38" w:rsidRDefault="00385568" w:rsidP="00E96EF7">
            <w:pPr>
              <w:spacing w:before="120" w:after="0" w:line="240" w:lineRule="auto"/>
              <w:rPr>
                <w:rFonts w:ascii="Times New Roman" w:eastAsia="Calibri" w:hAnsi="Times New Roman" w:cs="Times New Roman"/>
                <w:b/>
                <w:color w:val="000000"/>
                <w:lang w:eastAsia="en-US"/>
              </w:rPr>
            </w:pPr>
            <w:r w:rsidRPr="007C0F38">
              <w:rPr>
                <w:rFonts w:ascii="Times New Roman" w:eastAsia="Calibri" w:hAnsi="Times New Roman" w:cs="Times New Roman"/>
                <w:b/>
                <w:color w:val="000000"/>
                <w:lang w:eastAsia="en-US"/>
              </w:rPr>
              <w:t>Nr w wykazie prac</w:t>
            </w:r>
          </w:p>
          <w:p w:rsidR="00385568" w:rsidRPr="007C0F38" w:rsidRDefault="00385568" w:rsidP="00E96EF7">
            <w:pPr>
              <w:spacing w:after="0" w:line="240" w:lineRule="auto"/>
              <w:rPr>
                <w:rFonts w:ascii="Times New Roman" w:eastAsia="Calibri" w:hAnsi="Times New Roman" w:cs="Times New Roman"/>
                <w:color w:val="000000"/>
                <w:lang w:eastAsia="en-US"/>
              </w:rPr>
            </w:pPr>
          </w:p>
        </w:tc>
      </w:tr>
      <w:tr w:rsidR="00385568" w:rsidRPr="00385568" w:rsidTr="00030232">
        <w:trPr>
          <w:trHeight w:val="60"/>
        </w:trPr>
        <w:tc>
          <w:tcPr>
            <w:tcW w:w="10692" w:type="dxa"/>
            <w:gridSpan w:val="26"/>
            <w:shd w:val="clear" w:color="auto" w:fill="99CCFF"/>
          </w:tcPr>
          <w:p w:rsidR="00385568" w:rsidRPr="007C0F38" w:rsidRDefault="00385568" w:rsidP="00E96EF7">
            <w:pPr>
              <w:spacing w:after="0" w:line="240" w:lineRule="auto"/>
              <w:ind w:left="57"/>
              <w:jc w:val="center"/>
              <w:rPr>
                <w:rFonts w:ascii="Times New Roman" w:eastAsia="Calibri" w:hAnsi="Times New Roman" w:cs="Times New Roman"/>
                <w:b/>
                <w:color w:val="FFFFFF"/>
                <w:lang w:eastAsia="en-US"/>
              </w:rPr>
            </w:pPr>
            <w:r w:rsidRPr="007C0F38">
              <w:rPr>
                <w:rFonts w:ascii="Times New Roman" w:eastAsia="Calibri" w:hAnsi="Times New Roman" w:cs="Times New Roman"/>
                <w:b/>
                <w:color w:val="FFFFFF"/>
                <w:lang w:eastAsia="en-US"/>
              </w:rPr>
              <w:t>OCENA SKUTKÓW REGULACJI</w:t>
            </w:r>
          </w:p>
        </w:tc>
      </w:tr>
      <w:tr w:rsidR="00385568" w:rsidRPr="00385568" w:rsidTr="00030232">
        <w:trPr>
          <w:trHeight w:val="333"/>
        </w:trPr>
        <w:tc>
          <w:tcPr>
            <w:tcW w:w="10692" w:type="dxa"/>
            <w:gridSpan w:val="26"/>
            <w:shd w:val="clear" w:color="auto" w:fill="99CCFF"/>
            <w:vAlign w:val="center"/>
          </w:tcPr>
          <w:p w:rsidR="00385568" w:rsidRPr="007C0F38" w:rsidRDefault="00385568" w:rsidP="00E96EF7">
            <w:pPr>
              <w:numPr>
                <w:ilvl w:val="0"/>
                <w:numId w:val="9"/>
              </w:numPr>
              <w:spacing w:before="60" w:after="60" w:line="240" w:lineRule="auto"/>
              <w:ind w:left="318" w:hanging="284"/>
              <w:jc w:val="both"/>
              <w:rPr>
                <w:rFonts w:ascii="Times New Roman" w:eastAsia="Calibri" w:hAnsi="Times New Roman" w:cs="Times New Roman"/>
                <w:b/>
                <w:color w:val="000000"/>
                <w:lang w:eastAsia="en-US"/>
              </w:rPr>
            </w:pPr>
            <w:r w:rsidRPr="007C0F38">
              <w:rPr>
                <w:rFonts w:ascii="Times New Roman" w:eastAsia="Calibri" w:hAnsi="Times New Roman" w:cs="Times New Roman"/>
                <w:b/>
                <w:lang w:eastAsia="en-US"/>
              </w:rPr>
              <w:t>Jaki problem jest rozwiązywany?</w:t>
            </w:r>
            <w:bookmarkStart w:id="2" w:name="Wybór1"/>
            <w:bookmarkEnd w:id="2"/>
          </w:p>
        </w:tc>
      </w:tr>
      <w:tr w:rsidR="00385568" w:rsidRPr="00385568" w:rsidTr="00030232">
        <w:trPr>
          <w:trHeight w:val="142"/>
        </w:trPr>
        <w:tc>
          <w:tcPr>
            <w:tcW w:w="10692" w:type="dxa"/>
            <w:gridSpan w:val="26"/>
            <w:shd w:val="clear" w:color="auto" w:fill="FFFFFF"/>
          </w:tcPr>
          <w:p w:rsidR="00C84E20" w:rsidRDefault="00C84E20" w:rsidP="007679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Objęcie monitoringiem przewozów drogowych prowadzonych na terytorium Polski</w:t>
            </w:r>
            <w:r>
              <w:t xml:space="preserve"> </w:t>
            </w:r>
            <w:r>
              <w:rPr>
                <w:rFonts w:ascii="Times New Roman" w:eastAsia="Times New Roman" w:hAnsi="Times New Roman" w:cs="Times New Roman"/>
              </w:rPr>
              <w:t>m</w:t>
            </w:r>
            <w:r w:rsidRPr="00BB2606">
              <w:rPr>
                <w:rFonts w:ascii="Times New Roman" w:eastAsia="Times New Roman" w:hAnsi="Times New Roman" w:cs="Times New Roman"/>
              </w:rPr>
              <w:t xml:space="preserve">a na celu </w:t>
            </w:r>
            <w:r>
              <w:rPr>
                <w:rFonts w:ascii="Times New Roman" w:eastAsia="Times New Roman" w:hAnsi="Times New Roman" w:cs="Times New Roman"/>
              </w:rPr>
              <w:t>normalizację warunków prowadzenia działalności gospodarczej w</w:t>
            </w:r>
            <w:r w:rsidRPr="00BB2606">
              <w:rPr>
                <w:rFonts w:ascii="Times New Roman" w:eastAsia="Times New Roman" w:hAnsi="Times New Roman" w:cs="Times New Roman"/>
              </w:rPr>
              <w:t xml:space="preserve"> obszarach, w których stwierdza się najwięcej nieprawidłowości, dotyczących w szczególności wyłudzania i niepłacenia podatku od towarów i usług, czy uszczupleń w podatku akcyzow</w:t>
            </w:r>
            <w:r>
              <w:rPr>
                <w:rFonts w:ascii="Times New Roman" w:eastAsia="Times New Roman" w:hAnsi="Times New Roman" w:cs="Times New Roman"/>
              </w:rPr>
              <w:t>ym oraz innych, istotnych naruszeń</w:t>
            </w:r>
            <w:r w:rsidRPr="00BB2606">
              <w:rPr>
                <w:rFonts w:ascii="Times New Roman" w:eastAsia="Times New Roman" w:hAnsi="Times New Roman" w:cs="Times New Roman"/>
              </w:rPr>
              <w:t xml:space="preserve"> przepisów</w:t>
            </w:r>
            <w:r>
              <w:rPr>
                <w:rFonts w:ascii="Times New Roman" w:eastAsia="Times New Roman" w:hAnsi="Times New Roman" w:cs="Times New Roman"/>
              </w:rPr>
              <w:t xml:space="preserve">. </w:t>
            </w:r>
          </w:p>
          <w:p w:rsidR="008017B8" w:rsidRPr="008017B8" w:rsidRDefault="00C84E20" w:rsidP="006F3C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Trwają prace nad projektem ustawy o</w:t>
            </w:r>
            <w:r w:rsidRPr="00C84E20">
              <w:rPr>
                <w:rFonts w:ascii="Times New Roman" w:eastAsia="Times New Roman" w:hAnsi="Times New Roman" w:cs="Times New Roman"/>
              </w:rPr>
              <w:t xml:space="preserve"> systemie monitorowania drogowego przewozu towarów</w:t>
            </w:r>
            <w:r>
              <w:rPr>
                <w:rFonts w:ascii="Times New Roman" w:eastAsia="Times New Roman" w:hAnsi="Times New Roman" w:cs="Times New Roman"/>
              </w:rPr>
              <w:t xml:space="preserve">. Projekt ustawy został przekazany do uzgodnień wewnętrznych, przedmiotowy projekt rozporządzenia </w:t>
            </w:r>
            <w:r w:rsidRPr="00C84E20">
              <w:rPr>
                <w:rFonts w:ascii="Times New Roman" w:eastAsia="Times New Roman" w:hAnsi="Times New Roman" w:cs="Times New Roman"/>
              </w:rPr>
              <w:t>w sprawie przewozu towarów, który nie podlega systemowi monitorowania</w:t>
            </w:r>
            <w:r>
              <w:rPr>
                <w:rFonts w:ascii="Times New Roman" w:eastAsia="Times New Roman" w:hAnsi="Times New Roman" w:cs="Times New Roman"/>
              </w:rPr>
              <w:t>, stanowi integralną część wprowadzanego rozwiązania.</w:t>
            </w:r>
            <w:r>
              <w:t xml:space="preserve"> </w:t>
            </w:r>
            <w:r w:rsidRPr="00C84E20">
              <w:rPr>
                <w:rFonts w:ascii="Times New Roman" w:eastAsia="Times New Roman" w:hAnsi="Times New Roman" w:cs="Times New Roman"/>
              </w:rPr>
              <w:t xml:space="preserve">Sposób i zakres działania wprowadzany ustawą, zastosowany do grup towarów nieobjętych wyłączeniem w rozporządzeniu, spowoduje łączny skutek finansowy </w:t>
            </w:r>
            <w:r>
              <w:rPr>
                <w:rFonts w:ascii="Times New Roman" w:eastAsia="Times New Roman" w:hAnsi="Times New Roman" w:cs="Times New Roman"/>
              </w:rPr>
              <w:t>szczegółowo opisany w OSR do projektu ustawy.</w:t>
            </w:r>
          </w:p>
        </w:tc>
      </w:tr>
      <w:tr w:rsidR="00385568" w:rsidRPr="00385568" w:rsidTr="00030232">
        <w:trPr>
          <w:trHeight w:val="142"/>
        </w:trPr>
        <w:tc>
          <w:tcPr>
            <w:tcW w:w="10692" w:type="dxa"/>
            <w:gridSpan w:val="26"/>
            <w:shd w:val="clear" w:color="auto" w:fill="99CCFF"/>
            <w:vAlign w:val="center"/>
          </w:tcPr>
          <w:p w:rsidR="00385568" w:rsidRPr="00DD79F7" w:rsidRDefault="00385568" w:rsidP="00E96EF7">
            <w:pPr>
              <w:numPr>
                <w:ilvl w:val="0"/>
                <w:numId w:val="9"/>
              </w:numPr>
              <w:spacing w:before="60" w:after="60" w:line="240" w:lineRule="auto"/>
              <w:ind w:left="318" w:hanging="284"/>
              <w:jc w:val="both"/>
              <w:rPr>
                <w:rFonts w:ascii="Times New Roman" w:eastAsia="Calibri" w:hAnsi="Times New Roman" w:cs="Times New Roman"/>
                <w:b/>
                <w:color w:val="000000"/>
                <w:lang w:eastAsia="en-US"/>
              </w:rPr>
            </w:pPr>
            <w:r w:rsidRPr="00DD79F7">
              <w:rPr>
                <w:rFonts w:ascii="Times New Roman" w:eastAsia="Calibri" w:hAnsi="Times New Roman" w:cs="Times New Roman"/>
                <w:b/>
                <w:color w:val="000000"/>
                <w:spacing w:val="-2"/>
                <w:lang w:eastAsia="en-US"/>
              </w:rPr>
              <w:t>Rekomendowane rozwiązanie, w tym planowane narzędzia interwencji, i oczekiwany efekt</w:t>
            </w:r>
          </w:p>
        </w:tc>
      </w:tr>
      <w:tr w:rsidR="00385568" w:rsidRPr="00385568" w:rsidTr="00030232">
        <w:trPr>
          <w:trHeight w:val="142"/>
        </w:trPr>
        <w:tc>
          <w:tcPr>
            <w:tcW w:w="10692" w:type="dxa"/>
            <w:gridSpan w:val="26"/>
            <w:shd w:val="clear" w:color="auto" w:fill="auto"/>
          </w:tcPr>
          <w:p w:rsidR="0053457E" w:rsidRPr="004838AB" w:rsidRDefault="0017785E" w:rsidP="00B843F8">
            <w:pPr>
              <w:widowControl w:val="0"/>
              <w:spacing w:before="120" w:after="0" w:line="240" w:lineRule="auto"/>
              <w:jc w:val="both"/>
              <w:rPr>
                <w:rFonts w:ascii="Times New Roman" w:eastAsia="Calibri" w:hAnsi="Times New Roman" w:cs="Times New Roman"/>
                <w:spacing w:val="-2"/>
                <w:lang w:eastAsia="en-US"/>
              </w:rPr>
            </w:pPr>
            <w:r w:rsidRPr="004838AB">
              <w:rPr>
                <w:rFonts w:ascii="Times New Roman" w:eastAsia="Calibri" w:hAnsi="Times New Roman" w:cs="Times New Roman"/>
                <w:spacing w:val="-2"/>
                <w:lang w:eastAsia="en-US"/>
              </w:rPr>
              <w:t xml:space="preserve">Rekomendowane jest </w:t>
            </w:r>
            <w:r w:rsidR="00AC0274" w:rsidRPr="004838AB">
              <w:rPr>
                <w:rFonts w:ascii="Times New Roman" w:eastAsia="Calibri" w:hAnsi="Times New Roman" w:cs="Times New Roman"/>
                <w:spacing w:val="-2"/>
                <w:lang w:eastAsia="en-US"/>
              </w:rPr>
              <w:t xml:space="preserve">zwolnienie większości towarów będących w obrocie </w:t>
            </w:r>
            <w:r w:rsidR="0053457E" w:rsidRPr="004838AB">
              <w:rPr>
                <w:rFonts w:ascii="Times New Roman" w:hAnsi="Times New Roman" w:cs="Times New Roman"/>
              </w:rPr>
              <w:t>z systemu monitorowania</w:t>
            </w:r>
            <w:r w:rsidR="00AC0274" w:rsidRPr="004838AB">
              <w:rPr>
                <w:rFonts w:ascii="Times New Roman" w:hAnsi="Times New Roman" w:cs="Times New Roman"/>
              </w:rPr>
              <w:t>, z wyłączenie grup towarów uznanych za „wrażliwe”</w:t>
            </w:r>
            <w:r w:rsidR="0053457E" w:rsidRPr="004838AB">
              <w:rPr>
                <w:rFonts w:ascii="Times New Roman" w:hAnsi="Times New Roman" w:cs="Times New Roman"/>
              </w:rPr>
              <w:t xml:space="preserve">. </w:t>
            </w:r>
            <w:r w:rsidR="0053457E" w:rsidRPr="004838AB">
              <w:rPr>
                <w:rFonts w:ascii="Times New Roman" w:eastAsia="Calibri" w:hAnsi="Times New Roman" w:cs="Times New Roman"/>
                <w:spacing w:val="-2"/>
                <w:lang w:eastAsia="en-US"/>
              </w:rPr>
              <w:t xml:space="preserve">Na podstawie wyników dotychczasowych działań kontrolnych prowadzonych przez Służbę Celną oraz Kontrolę Skarbową określono katalog towarów, których przewóz powinien podlegać systemowi monitorowania, o którym mowa w art. </w:t>
            </w:r>
            <w:r w:rsidR="0079225F" w:rsidRPr="004838AB">
              <w:rPr>
                <w:rFonts w:ascii="Times New Roman" w:eastAsia="Calibri" w:hAnsi="Times New Roman" w:cs="Times New Roman"/>
                <w:spacing w:val="-2"/>
                <w:lang w:eastAsia="en-US"/>
              </w:rPr>
              <w:t>2</w:t>
            </w:r>
            <w:r w:rsidR="0053457E" w:rsidRPr="004838AB">
              <w:rPr>
                <w:rFonts w:ascii="Times New Roman" w:eastAsia="Calibri" w:hAnsi="Times New Roman" w:cs="Times New Roman"/>
                <w:spacing w:val="-2"/>
                <w:lang w:eastAsia="en-US"/>
              </w:rPr>
              <w:t xml:space="preserve"> </w:t>
            </w:r>
            <w:r w:rsidR="0079225F" w:rsidRPr="004838AB">
              <w:rPr>
                <w:rFonts w:ascii="Times New Roman" w:eastAsia="Calibri" w:hAnsi="Times New Roman" w:cs="Times New Roman"/>
                <w:spacing w:val="-2"/>
                <w:lang w:eastAsia="en-US"/>
              </w:rPr>
              <w:t>pk</w:t>
            </w:r>
            <w:r w:rsidR="0053457E" w:rsidRPr="004838AB">
              <w:rPr>
                <w:rFonts w:ascii="Times New Roman" w:eastAsia="Calibri" w:hAnsi="Times New Roman" w:cs="Times New Roman"/>
                <w:spacing w:val="-2"/>
                <w:lang w:eastAsia="en-US"/>
              </w:rPr>
              <w:t xml:space="preserve">t </w:t>
            </w:r>
            <w:r w:rsidR="0079225F" w:rsidRPr="004838AB">
              <w:rPr>
                <w:rFonts w:ascii="Times New Roman" w:eastAsia="Calibri" w:hAnsi="Times New Roman" w:cs="Times New Roman"/>
                <w:spacing w:val="-2"/>
                <w:lang w:eastAsia="en-US"/>
              </w:rPr>
              <w:t>6</w:t>
            </w:r>
            <w:r w:rsidR="0053457E" w:rsidRPr="004838AB">
              <w:rPr>
                <w:rFonts w:ascii="Times New Roman" w:eastAsia="Calibri" w:hAnsi="Times New Roman" w:cs="Times New Roman"/>
                <w:spacing w:val="-2"/>
                <w:lang w:eastAsia="en-US"/>
              </w:rPr>
              <w:t xml:space="preserve"> projektowanej ustawy</w:t>
            </w:r>
            <w:r w:rsidR="0053457E" w:rsidRPr="004838AB">
              <w:t xml:space="preserve"> </w:t>
            </w:r>
            <w:r w:rsidR="0053457E" w:rsidRPr="004838AB">
              <w:rPr>
                <w:rFonts w:ascii="Times New Roman" w:eastAsia="Calibri" w:hAnsi="Times New Roman" w:cs="Times New Roman"/>
                <w:spacing w:val="-2"/>
                <w:lang w:eastAsia="en-US"/>
              </w:rPr>
              <w:t>o systemie monitorowania drogowego przewozu towarów.</w:t>
            </w:r>
          </w:p>
          <w:p w:rsidR="0053457E" w:rsidRPr="004838AB" w:rsidRDefault="0053457E" w:rsidP="0053457E">
            <w:pPr>
              <w:widowControl w:val="0"/>
              <w:spacing w:before="120" w:after="0" w:line="240" w:lineRule="auto"/>
              <w:jc w:val="both"/>
              <w:rPr>
                <w:rFonts w:ascii="Times New Roman" w:eastAsia="Calibri" w:hAnsi="Times New Roman" w:cs="Times New Roman"/>
                <w:spacing w:val="-2"/>
                <w:lang w:eastAsia="en-US"/>
              </w:rPr>
            </w:pPr>
            <w:r w:rsidRPr="004838AB">
              <w:rPr>
                <w:rFonts w:ascii="Times New Roman" w:eastAsia="Calibri" w:hAnsi="Times New Roman" w:cs="Times New Roman"/>
                <w:spacing w:val="-2"/>
                <w:lang w:eastAsia="en-US"/>
              </w:rPr>
              <w:t xml:space="preserve">Zgodnie z regulacjami § 1 pkt 1 lit. a projektu rozporządzenia, przedmiotowe zwolnienie dotyczy przewozu towarów dokonywanego środkami transportu należącymi do sił zbrojnych, </w:t>
            </w:r>
            <w:r w:rsidR="0079225F" w:rsidRPr="004838AB">
              <w:rPr>
                <w:rFonts w:ascii="Times New Roman" w:eastAsia="Calibri" w:hAnsi="Times New Roman" w:cs="Times New Roman"/>
                <w:spacing w:val="-2"/>
                <w:lang w:eastAsia="en-US"/>
              </w:rPr>
              <w:t xml:space="preserve">Służby Celnej, </w:t>
            </w:r>
            <w:r w:rsidRPr="004838AB">
              <w:rPr>
                <w:rFonts w:ascii="Times New Roman" w:eastAsia="Calibri" w:hAnsi="Times New Roman" w:cs="Times New Roman"/>
                <w:spacing w:val="-2"/>
                <w:lang w:eastAsia="en-US"/>
              </w:rPr>
              <w:t>Policji, Agencji Bezpieczeństwa Wewnętrznego, Centralnego Biura Antykorupcyjnego, Straży Granicznej, Służby Wywiadu Wojskowego, Agencji Wywiadu, Państwowej Straży Pożarnej, instytucji Unii Europejskiej oraz przedstawicielstw dyplomatycznych lub urzędów konsularnych. Zwolnienie obejmuje również przewóz towarów dokonywany środkami transportu, za które odpowiedzialne są ww. podmioty (§ 1 pkt 1 lit. b projektu).</w:t>
            </w:r>
          </w:p>
          <w:p w:rsidR="0053457E" w:rsidRPr="004838AB" w:rsidRDefault="0053457E" w:rsidP="0053457E">
            <w:pPr>
              <w:widowControl w:val="0"/>
              <w:spacing w:before="120" w:after="0" w:line="240" w:lineRule="auto"/>
              <w:jc w:val="both"/>
              <w:rPr>
                <w:rFonts w:ascii="Times New Roman" w:eastAsia="Calibri" w:hAnsi="Times New Roman" w:cs="Times New Roman"/>
                <w:spacing w:val="-2"/>
                <w:lang w:eastAsia="en-US"/>
              </w:rPr>
            </w:pPr>
            <w:r w:rsidRPr="004838AB">
              <w:rPr>
                <w:rFonts w:ascii="Times New Roman" w:eastAsia="Calibri" w:hAnsi="Times New Roman" w:cs="Times New Roman"/>
                <w:spacing w:val="-2"/>
                <w:lang w:eastAsia="en-US"/>
              </w:rPr>
              <w:t>W § 1 pkt 2 projektowanego rozporządzenia z obowiązku monitorowania zwalnia się przewóz towarów przewożonych przez operatorów pocztowych w paczkach pocztowych w rozumieniu ustawy z dnia 23 listopada 2012 r. – Prawo pocztowe (Dz. U. z 2016 r. poz. 1113 i 1250), ze względu na niskie ryzyko związane z przemieszczaniem takich przesyłek. W</w:t>
            </w:r>
            <w:r w:rsidR="0079225F" w:rsidRPr="004838AB">
              <w:rPr>
                <w:rFonts w:ascii="Times New Roman" w:eastAsia="Calibri" w:hAnsi="Times New Roman" w:cs="Times New Roman"/>
                <w:spacing w:val="-2"/>
                <w:lang w:eastAsia="en-US"/>
              </w:rPr>
              <w:t> </w:t>
            </w:r>
            <w:r w:rsidRPr="004838AB">
              <w:rPr>
                <w:rFonts w:ascii="Times New Roman" w:eastAsia="Calibri" w:hAnsi="Times New Roman" w:cs="Times New Roman"/>
                <w:spacing w:val="-2"/>
                <w:lang w:eastAsia="en-US"/>
              </w:rPr>
              <w:t>konsekwencji, przewóz paczek o wadze powyżej 20 kg, w których będą znajdować się towary podlegające systemowi monitorowania nie będzie zwolniony z obowiązków zgłaszania przewozu i używania lokalizatora.</w:t>
            </w:r>
          </w:p>
          <w:p w:rsidR="008302E9" w:rsidRPr="004838AB" w:rsidRDefault="008302E9" w:rsidP="0053457E">
            <w:pPr>
              <w:widowControl w:val="0"/>
              <w:spacing w:before="120" w:after="0" w:line="240" w:lineRule="auto"/>
              <w:jc w:val="both"/>
              <w:rPr>
                <w:rFonts w:ascii="Times New Roman" w:eastAsia="Calibri" w:hAnsi="Times New Roman" w:cs="Times New Roman"/>
                <w:spacing w:val="-2"/>
                <w:lang w:eastAsia="en-US"/>
              </w:rPr>
            </w:pPr>
            <w:r w:rsidRPr="004838AB">
              <w:rPr>
                <w:rFonts w:ascii="Times New Roman" w:eastAsia="Calibri" w:hAnsi="Times New Roman" w:cs="Times New Roman"/>
                <w:spacing w:val="-2"/>
                <w:lang w:eastAsia="en-US"/>
              </w:rPr>
              <w:t>Systemowi monitorowania nie podlega także przewóz towarów, których obrót jest objęty nadzorem wynikającym z</w:t>
            </w:r>
            <w:r w:rsidR="00D27679" w:rsidRPr="004838AB">
              <w:rPr>
                <w:rFonts w:ascii="Times New Roman" w:eastAsia="Calibri" w:hAnsi="Times New Roman" w:cs="Times New Roman"/>
                <w:spacing w:val="-2"/>
                <w:lang w:eastAsia="en-US"/>
              </w:rPr>
              <w:t> </w:t>
            </w:r>
            <w:r w:rsidRPr="004838AB">
              <w:rPr>
                <w:rFonts w:ascii="Times New Roman" w:eastAsia="Calibri" w:hAnsi="Times New Roman" w:cs="Times New Roman"/>
                <w:spacing w:val="-2"/>
                <w:lang w:eastAsia="en-US"/>
              </w:rPr>
              <w:t>przepisów szczególnych, a tym samym ryzyko związane z obrotem tymi towarami jest minimalizowane za pomocą innych narzędzi prawnych</w:t>
            </w:r>
            <w:r w:rsidR="00D27679" w:rsidRPr="004838AB">
              <w:rPr>
                <w:rFonts w:ascii="Times New Roman" w:eastAsia="Calibri" w:hAnsi="Times New Roman" w:cs="Times New Roman"/>
                <w:spacing w:val="-2"/>
                <w:lang w:eastAsia="en-US"/>
              </w:rPr>
              <w:t xml:space="preserve"> i informatycznych</w:t>
            </w:r>
            <w:r w:rsidRPr="004838AB">
              <w:rPr>
                <w:rFonts w:ascii="Times New Roman" w:eastAsia="Calibri" w:hAnsi="Times New Roman" w:cs="Times New Roman"/>
                <w:spacing w:val="-2"/>
                <w:lang w:eastAsia="en-US"/>
              </w:rPr>
              <w:t>.</w:t>
            </w:r>
          </w:p>
          <w:p w:rsidR="00F20D0A" w:rsidRPr="004838AB" w:rsidRDefault="008302E9" w:rsidP="00F20D0A">
            <w:pPr>
              <w:pStyle w:val="PKTpunkt"/>
              <w:spacing w:line="240" w:lineRule="auto"/>
              <w:ind w:left="0" w:firstLine="0"/>
              <w:rPr>
                <w:sz w:val="22"/>
                <w:szCs w:val="22"/>
              </w:rPr>
            </w:pPr>
            <w:r w:rsidRPr="004838AB">
              <w:rPr>
                <w:rFonts w:ascii="Times New Roman" w:eastAsia="Calibri" w:hAnsi="Times New Roman" w:cs="Times New Roman"/>
                <w:spacing w:val="-2"/>
                <w:sz w:val="22"/>
                <w:szCs w:val="22"/>
                <w:lang w:eastAsia="en-US"/>
              </w:rPr>
              <w:t xml:space="preserve">Stosownie do regulacji w § 1 pkt 5 lit. a systemowi monitorowania </w:t>
            </w:r>
            <w:r w:rsidR="004838AB" w:rsidRPr="004838AB">
              <w:rPr>
                <w:rFonts w:ascii="Times New Roman" w:eastAsia="Calibri" w:hAnsi="Times New Roman" w:cs="Times New Roman"/>
                <w:spacing w:val="-2"/>
                <w:sz w:val="22"/>
                <w:szCs w:val="22"/>
                <w:lang w:eastAsia="en-US"/>
              </w:rPr>
              <w:t xml:space="preserve">nie </w:t>
            </w:r>
            <w:r w:rsidRPr="004838AB">
              <w:rPr>
                <w:rFonts w:ascii="Times New Roman" w:eastAsia="Calibri" w:hAnsi="Times New Roman" w:cs="Times New Roman"/>
                <w:spacing w:val="-2"/>
                <w:sz w:val="22"/>
                <w:szCs w:val="22"/>
                <w:lang w:eastAsia="en-US"/>
              </w:rPr>
              <w:t>podlega również przewóz towarów objętych Polską Klasyfikacją Wyrobów i Usług</w:t>
            </w:r>
            <w:r w:rsidR="004838AB" w:rsidRPr="004838AB">
              <w:rPr>
                <w:rFonts w:ascii="Times New Roman" w:eastAsia="Calibri" w:hAnsi="Times New Roman" w:cs="Times New Roman"/>
                <w:spacing w:val="-2"/>
                <w:sz w:val="22"/>
                <w:szCs w:val="22"/>
                <w:lang w:eastAsia="en-US"/>
              </w:rPr>
              <w:t>,</w:t>
            </w:r>
            <w:r w:rsidRPr="004838AB">
              <w:rPr>
                <w:rFonts w:ascii="Times New Roman" w:eastAsia="Calibri" w:hAnsi="Times New Roman" w:cs="Times New Roman"/>
                <w:spacing w:val="-2"/>
                <w:sz w:val="22"/>
                <w:szCs w:val="22"/>
                <w:lang w:eastAsia="en-US"/>
              </w:rPr>
              <w:t xml:space="preserve"> z wyjątkiem towarów objętych: </w:t>
            </w:r>
            <w:r w:rsidR="00F20D0A" w:rsidRPr="004838AB">
              <w:rPr>
                <w:sz w:val="22"/>
                <w:szCs w:val="22"/>
              </w:rPr>
              <w:t>pozycjami od 10.41.21 do 10.41.60, pozycją 10.42.10, pozycją 10.62.14, pozycjami od 19.20.21 do 19.20.29, pozycją 20.14.22, pozycją 20.14.23, pozycją 20.14.33, pozycją 20.14.34, pozycją 20.14.73, pozycją</w:t>
            </w:r>
            <w:r w:rsidR="00F20D0A" w:rsidRPr="004838AB">
              <w:rPr>
                <w:bCs w:val="0"/>
                <w:sz w:val="22"/>
                <w:szCs w:val="22"/>
              </w:rPr>
              <w:t xml:space="preserve"> 20.14.74 nieoznaczonych znakami akcyzy, pozycją </w:t>
            </w:r>
            <w:r w:rsidR="00F20D0A" w:rsidRPr="004838AB">
              <w:rPr>
                <w:sz w:val="22"/>
                <w:szCs w:val="22"/>
              </w:rPr>
              <w:t>20.14.75</w:t>
            </w:r>
            <w:r w:rsidR="00F20D0A" w:rsidRPr="004838AB">
              <w:rPr>
                <w:bCs w:val="0"/>
                <w:sz w:val="22"/>
                <w:szCs w:val="22"/>
              </w:rPr>
              <w:t xml:space="preserve">, pozycją 20.30.22, </w:t>
            </w:r>
            <w:r w:rsidR="00F20D0A" w:rsidRPr="004838AB">
              <w:rPr>
                <w:bCs w:val="0"/>
                <w:sz w:val="22"/>
                <w:szCs w:val="22"/>
              </w:rPr>
              <w:lastRenderedPageBreak/>
              <w:t>pozycją 20.59.41, pozycją 20.59.42, pozycją 20.59.43 zawierających alkohol etylowy, pozycją 20.59.57, pozycją 20.59.58, pozycją 38.12.25,</w:t>
            </w:r>
          </w:p>
          <w:p w:rsidR="008302E9" w:rsidRPr="004838AB" w:rsidRDefault="008302E9" w:rsidP="00F977D0">
            <w:pPr>
              <w:widowControl w:val="0"/>
              <w:spacing w:after="0" w:line="240" w:lineRule="auto"/>
              <w:jc w:val="both"/>
              <w:rPr>
                <w:rFonts w:ascii="Times New Roman" w:eastAsia="Calibri" w:hAnsi="Times New Roman" w:cs="Times New Roman"/>
                <w:spacing w:val="-2"/>
                <w:lang w:eastAsia="en-US"/>
              </w:rPr>
            </w:pPr>
            <w:r w:rsidRPr="004838AB">
              <w:rPr>
                <w:rFonts w:ascii="Times New Roman" w:eastAsia="Calibri" w:hAnsi="Times New Roman" w:cs="Times New Roman"/>
                <w:spacing w:val="-2"/>
                <w:lang w:eastAsia="en-US"/>
              </w:rPr>
              <w:t xml:space="preserve"> – jeżeli masa brutto przesyłki przekracza 500 kg lub 500 litrów lub jej wartość przekracza 100 000 zł lub jeżeli jest przewożona środkiem transportu o dopuszczalnej masie całkowitej powyżej 3,5 tony.</w:t>
            </w:r>
          </w:p>
          <w:p w:rsidR="00F33AE3" w:rsidRPr="004838AB" w:rsidRDefault="00F33AE3" w:rsidP="00B545DD">
            <w:pPr>
              <w:spacing w:after="0"/>
              <w:jc w:val="both"/>
              <w:rPr>
                <w:rFonts w:ascii="Times New Roman" w:eastAsia="Calibri" w:hAnsi="Times New Roman" w:cs="Times New Roman"/>
                <w:spacing w:val="-2"/>
                <w:lang w:eastAsia="en-US"/>
              </w:rPr>
            </w:pPr>
            <w:r w:rsidRPr="004838AB">
              <w:rPr>
                <w:rFonts w:ascii="Times New Roman" w:eastAsia="Calibri" w:hAnsi="Times New Roman" w:cs="Times New Roman"/>
                <w:spacing w:val="-2"/>
                <w:lang w:eastAsia="en-US"/>
              </w:rPr>
              <w:t xml:space="preserve">Jednocześnie w § 1 pkt 5 lit. b z obowiązku monitorowania zwalnia się przewóz towarów objętych Nomenklaturą Scaloną, z wyjątkiem towarów objętych: </w:t>
            </w:r>
            <w:r w:rsidR="00B545DD" w:rsidRPr="00B545DD">
              <w:rPr>
                <w:rFonts w:ascii="Times New Roman" w:eastAsia="Calibri" w:hAnsi="Times New Roman" w:cs="Times New Roman"/>
                <w:spacing w:val="-2"/>
                <w:lang w:eastAsia="en-US"/>
              </w:rPr>
              <w:t>pozycjami od 1507 do 1517, pozycją 2207 nieoznaczonych znakami akcyzy, pozycją 2707, pozycją 2710, pozycją 2905, pozycją 2917, pozycją 3403, pozycją 3811, pozycją 3814, pozycją 3820 zawierających alkohol etylowy, pozycją 3824, pozycją 3826</w:t>
            </w:r>
            <w:r w:rsidRPr="004838AB">
              <w:rPr>
                <w:rFonts w:ascii="Times New Roman" w:eastAsia="Calibri" w:hAnsi="Times New Roman" w:cs="Times New Roman"/>
                <w:spacing w:val="-2"/>
                <w:lang w:eastAsia="en-US"/>
              </w:rPr>
              <w:t xml:space="preserve"> – jeżeli masa brutto przesyłki przekracza 500 kg lub 500 litrów lub jej wartość przekracza 100 000 zł lub jeżeli jest przewożona środkiem transportu o dopuszczalnej masie całkowitej powyżej 3,5 tony.</w:t>
            </w:r>
          </w:p>
          <w:p w:rsidR="008302E9" w:rsidRPr="004838AB" w:rsidRDefault="008302E9" w:rsidP="008302E9">
            <w:pPr>
              <w:widowControl w:val="0"/>
              <w:spacing w:before="120" w:after="0" w:line="240" w:lineRule="auto"/>
              <w:jc w:val="both"/>
              <w:rPr>
                <w:rFonts w:ascii="Times New Roman" w:eastAsia="Calibri" w:hAnsi="Times New Roman" w:cs="Times New Roman"/>
                <w:spacing w:val="-2"/>
                <w:lang w:eastAsia="en-US"/>
              </w:rPr>
            </w:pPr>
            <w:r w:rsidRPr="004838AB">
              <w:rPr>
                <w:rFonts w:ascii="Times New Roman" w:eastAsia="Calibri" w:hAnsi="Times New Roman" w:cs="Times New Roman"/>
                <w:spacing w:val="-2"/>
                <w:lang w:eastAsia="en-US"/>
              </w:rPr>
              <w:t>Towary wymienione w § 1 pkt 5 lit. a-b, których nie dotyczy zwolnienie z obowiązku monitorowania, obejmują: paliwa silnikowe i ich pochodne, paliwa opałowe, oleje smarowe i preparaty smarowe, oleje roślinne, które mogą być wykorzystane jako dodatki do paliw silnikowych, odmrażacze na bazie alkoholu etylowego, rozcieńczalniki i</w:t>
            </w:r>
            <w:r w:rsidR="00E054EE">
              <w:rPr>
                <w:rFonts w:ascii="Times New Roman" w:eastAsia="Calibri" w:hAnsi="Times New Roman" w:cs="Times New Roman"/>
                <w:spacing w:val="-2"/>
                <w:lang w:eastAsia="en-US"/>
              </w:rPr>
              <w:t> </w:t>
            </w:r>
            <w:r w:rsidRPr="004838AB">
              <w:rPr>
                <w:rFonts w:ascii="Times New Roman" w:eastAsia="Calibri" w:hAnsi="Times New Roman" w:cs="Times New Roman"/>
                <w:spacing w:val="-2"/>
                <w:lang w:eastAsia="en-US"/>
              </w:rPr>
              <w:t>rozpuszczalniki.</w:t>
            </w:r>
          </w:p>
          <w:p w:rsidR="008302E9" w:rsidRPr="004838AB" w:rsidRDefault="00E054EE" w:rsidP="008302E9">
            <w:pPr>
              <w:widowControl w:val="0"/>
              <w:spacing w:before="120" w:after="0" w:line="240" w:lineRule="auto"/>
              <w:jc w:val="both"/>
              <w:rPr>
                <w:rFonts w:ascii="Times New Roman" w:eastAsia="Calibri" w:hAnsi="Times New Roman" w:cs="Times New Roman"/>
                <w:spacing w:val="-2"/>
                <w:lang w:eastAsia="en-US"/>
              </w:rPr>
            </w:pPr>
            <w:r>
              <w:rPr>
                <w:rFonts w:ascii="Times New Roman" w:eastAsia="Calibri" w:hAnsi="Times New Roman" w:cs="Times New Roman"/>
                <w:spacing w:val="-2"/>
                <w:lang w:eastAsia="en-US"/>
              </w:rPr>
              <w:t>W</w:t>
            </w:r>
            <w:r w:rsidR="008302E9" w:rsidRPr="004838AB">
              <w:rPr>
                <w:rFonts w:ascii="Times New Roman" w:eastAsia="Calibri" w:hAnsi="Times New Roman" w:cs="Times New Roman"/>
                <w:spacing w:val="-2"/>
                <w:lang w:eastAsia="en-US"/>
              </w:rPr>
              <w:t xml:space="preserve"> § 2 wyłączono stosowanie zwolnienia z obowiązku monitorowania w stosunku do alkoholu etylowego całkowicie skażonego oraz suszu tytoniowego.</w:t>
            </w:r>
          </w:p>
          <w:p w:rsidR="00F33AE3" w:rsidRPr="004838AB" w:rsidRDefault="00F33AE3" w:rsidP="008302E9">
            <w:pPr>
              <w:widowControl w:val="0"/>
              <w:spacing w:before="120" w:after="0" w:line="240" w:lineRule="auto"/>
              <w:jc w:val="both"/>
              <w:rPr>
                <w:rFonts w:ascii="Times New Roman" w:eastAsia="Calibri" w:hAnsi="Times New Roman" w:cs="Times New Roman"/>
                <w:spacing w:val="-2"/>
                <w:lang w:eastAsia="en-US"/>
              </w:rPr>
            </w:pPr>
            <w:r w:rsidRPr="004838AB">
              <w:rPr>
                <w:rFonts w:ascii="Times New Roman" w:eastAsia="Calibri" w:hAnsi="Times New Roman" w:cs="Times New Roman"/>
                <w:spacing w:val="-2"/>
                <w:lang w:eastAsia="en-US"/>
              </w:rPr>
              <w:t>W projektowanych przepisach § 1 pkt 5 i § 2 pkt 1 została określona grupa towarów podlegająca systemowi monitorowania, która obejmuje wyroby o wysokim ryzyku powstawania uszczupleń podatkowych i wysokiej wartości transakcji. Wprowadzenie limitu ilościowego oraz kwotowego pozwoli na realizację zasady proporcjonalności przyjętego środka, ponieważ w opinii prawodawcy nie ma uzasadnienia, aby stosunkowo niewielkie transakcje były obejmowane obowiązkiem monitorowania. Ustalenie progów ilościowych i wartościowych determinujących objęcie określonych towarów systemem monitorowania jest zasadne przede wszystkim ze względu na szerokie zastosowanie tych wyrobów (m.in. w poligrafii, lakiernictwie, wulkanizacji, w przemyśle kosmetycznym, w produkcji środków chemii gospodarczej, w placówkach medycznych).</w:t>
            </w:r>
          </w:p>
          <w:p w:rsidR="008302E9" w:rsidRPr="004838AB" w:rsidRDefault="00F33AE3" w:rsidP="008302E9">
            <w:pPr>
              <w:widowControl w:val="0"/>
              <w:spacing w:before="120" w:after="0" w:line="240" w:lineRule="auto"/>
              <w:jc w:val="both"/>
              <w:rPr>
                <w:rFonts w:ascii="Times New Roman" w:eastAsia="Calibri" w:hAnsi="Times New Roman" w:cs="Times New Roman"/>
                <w:spacing w:val="-2"/>
                <w:lang w:eastAsia="en-US"/>
              </w:rPr>
            </w:pPr>
            <w:r w:rsidRPr="004838AB">
              <w:rPr>
                <w:rFonts w:ascii="Times New Roman" w:eastAsia="Calibri" w:hAnsi="Times New Roman" w:cs="Times New Roman"/>
                <w:spacing w:val="-2"/>
                <w:lang w:eastAsia="en-US"/>
              </w:rPr>
              <w:t>Wskazane powyżej limity ilościowe oraz wartościowe nie dotyczą natomiast suszu tytoniowego, który zgodnie z projektowanym § 2 pkt 2 będzie podlegał monitorowaniu bez względu na ilość. Przyjęte rozwiązanie podyktowane jest specyfiką tego wyrobu oraz rozmiarem nadużyć występujących w obrocie suszem tytoniowym. W wyniku działań kontrolnych zrealizowanych w latach 2013-2015 ujawniono, że przedmiotem nielegalnych transakcji było 2628 ton suszu tytoniowego, co skutkowało uszczupleniami wpływów do budżetu z tytułu podatku akcyzowego w wysokości 1,16</w:t>
            </w:r>
            <w:r w:rsidR="003C34D8">
              <w:rPr>
                <w:rFonts w:ascii="Times New Roman" w:eastAsia="Calibri" w:hAnsi="Times New Roman" w:cs="Times New Roman"/>
                <w:spacing w:val="-2"/>
                <w:lang w:eastAsia="en-US"/>
              </w:rPr>
              <w:t> </w:t>
            </w:r>
            <w:r w:rsidRPr="004838AB">
              <w:rPr>
                <w:rFonts w:ascii="Times New Roman" w:eastAsia="Calibri" w:hAnsi="Times New Roman" w:cs="Times New Roman"/>
                <w:spacing w:val="-2"/>
                <w:lang w:eastAsia="en-US"/>
              </w:rPr>
              <w:t>mld</w:t>
            </w:r>
            <w:r w:rsidR="003C34D8">
              <w:rPr>
                <w:rFonts w:ascii="Times New Roman" w:eastAsia="Calibri" w:hAnsi="Times New Roman" w:cs="Times New Roman"/>
                <w:spacing w:val="-2"/>
                <w:lang w:eastAsia="en-US"/>
              </w:rPr>
              <w:t> </w:t>
            </w:r>
            <w:r w:rsidRPr="004838AB">
              <w:rPr>
                <w:rFonts w:ascii="Times New Roman" w:eastAsia="Calibri" w:hAnsi="Times New Roman" w:cs="Times New Roman"/>
                <w:spacing w:val="-2"/>
                <w:lang w:eastAsia="en-US"/>
              </w:rPr>
              <w:t>zł.</w:t>
            </w:r>
          </w:p>
          <w:p w:rsidR="006B19F5" w:rsidRPr="004838AB" w:rsidRDefault="00FA7E02" w:rsidP="00B843F8">
            <w:pPr>
              <w:widowControl w:val="0"/>
              <w:spacing w:before="120" w:after="0" w:line="240" w:lineRule="auto"/>
              <w:jc w:val="both"/>
              <w:rPr>
                <w:rFonts w:ascii="Times New Roman" w:eastAsia="Calibri" w:hAnsi="Times New Roman" w:cs="Times New Roman"/>
                <w:spacing w:val="-2"/>
                <w:lang w:eastAsia="en-US"/>
              </w:rPr>
            </w:pPr>
            <w:r w:rsidRPr="004838AB">
              <w:rPr>
                <w:rFonts w:ascii="Times New Roman" w:eastAsia="Calibri" w:hAnsi="Times New Roman" w:cs="Times New Roman"/>
                <w:b/>
                <w:spacing w:val="-2"/>
                <w:lang w:eastAsia="en-US"/>
              </w:rPr>
              <w:t>Oczekiwane efekty:</w:t>
            </w:r>
            <w:r w:rsidRPr="004838AB">
              <w:rPr>
                <w:rFonts w:ascii="Times New Roman" w:eastAsia="Calibri" w:hAnsi="Times New Roman" w:cs="Times New Roman"/>
                <w:spacing w:val="-2"/>
                <w:lang w:eastAsia="en-US"/>
              </w:rPr>
              <w:t xml:space="preserve"> </w:t>
            </w:r>
            <w:r w:rsidR="00F33AE3" w:rsidRPr="004838AB">
              <w:rPr>
                <w:rFonts w:ascii="Times New Roman" w:eastAsia="Calibri" w:hAnsi="Times New Roman" w:cs="Times New Roman"/>
                <w:spacing w:val="-2"/>
                <w:lang w:eastAsia="en-US"/>
              </w:rPr>
              <w:t>u</w:t>
            </w:r>
            <w:r w:rsidR="00AA23D9" w:rsidRPr="004838AB">
              <w:rPr>
                <w:rFonts w:ascii="Times New Roman" w:eastAsia="Calibri" w:hAnsi="Times New Roman" w:cs="Times New Roman"/>
                <w:spacing w:val="-2"/>
                <w:lang w:eastAsia="en-US"/>
              </w:rPr>
              <w:t xml:space="preserve">szczelnienie systemu podatkowego w zakresie </w:t>
            </w:r>
            <w:r w:rsidR="003A13C3" w:rsidRPr="004838AB">
              <w:rPr>
                <w:rFonts w:ascii="Times New Roman" w:eastAsia="Calibri" w:hAnsi="Times New Roman" w:cs="Times New Roman"/>
                <w:spacing w:val="-2"/>
                <w:lang w:eastAsia="en-US"/>
              </w:rPr>
              <w:t xml:space="preserve">dochodów z </w:t>
            </w:r>
            <w:r w:rsidR="00AA23D9" w:rsidRPr="004838AB">
              <w:rPr>
                <w:rFonts w:ascii="Times New Roman" w:eastAsia="Calibri" w:hAnsi="Times New Roman" w:cs="Times New Roman"/>
                <w:spacing w:val="-2"/>
                <w:lang w:eastAsia="en-US"/>
              </w:rPr>
              <w:t>obrotu towarami podlegają</w:t>
            </w:r>
            <w:r w:rsidR="007B5B95" w:rsidRPr="004838AB">
              <w:rPr>
                <w:rFonts w:ascii="Times New Roman" w:eastAsia="Calibri" w:hAnsi="Times New Roman" w:cs="Times New Roman"/>
                <w:spacing w:val="-2"/>
                <w:lang w:eastAsia="en-US"/>
              </w:rPr>
              <w:t>cymi opodatkowaniu podatkiem od towarów i usług oraz</w:t>
            </w:r>
            <w:r w:rsidR="00AA23D9" w:rsidRPr="004838AB">
              <w:rPr>
                <w:rFonts w:ascii="Times New Roman" w:eastAsia="Calibri" w:hAnsi="Times New Roman" w:cs="Times New Roman"/>
                <w:spacing w:val="-2"/>
                <w:lang w:eastAsia="en-US"/>
              </w:rPr>
              <w:t xml:space="preserve"> podatkiem ak</w:t>
            </w:r>
            <w:r w:rsidR="00F33AE3" w:rsidRPr="004838AB">
              <w:rPr>
                <w:rFonts w:ascii="Times New Roman" w:eastAsia="Calibri" w:hAnsi="Times New Roman" w:cs="Times New Roman"/>
                <w:spacing w:val="-2"/>
                <w:lang w:eastAsia="en-US"/>
              </w:rPr>
              <w:t xml:space="preserve">cyzowym, </w:t>
            </w:r>
            <w:r w:rsidR="00AA23D9" w:rsidRPr="004838AB">
              <w:rPr>
                <w:rFonts w:ascii="Times New Roman" w:eastAsia="Calibri" w:hAnsi="Times New Roman" w:cs="Times New Roman"/>
                <w:spacing w:val="-2"/>
                <w:lang w:eastAsia="en-US"/>
              </w:rPr>
              <w:t xml:space="preserve">zwiększenie efektywności </w:t>
            </w:r>
            <w:r w:rsidR="00F33AE3" w:rsidRPr="004838AB">
              <w:rPr>
                <w:rFonts w:ascii="Times New Roman" w:eastAsia="Calibri" w:hAnsi="Times New Roman" w:cs="Times New Roman"/>
                <w:spacing w:val="-2"/>
                <w:lang w:eastAsia="en-US"/>
              </w:rPr>
              <w:t>służb kontrolnych</w:t>
            </w:r>
            <w:r w:rsidR="00AA23D9" w:rsidRPr="004838AB">
              <w:rPr>
                <w:rFonts w:ascii="Times New Roman" w:eastAsia="Calibri" w:hAnsi="Times New Roman" w:cs="Times New Roman"/>
                <w:spacing w:val="-2"/>
                <w:lang w:eastAsia="en-US"/>
              </w:rPr>
              <w:t>.</w:t>
            </w:r>
            <w:r w:rsidR="007B5B95" w:rsidRPr="004838AB">
              <w:rPr>
                <w:rFonts w:ascii="Times New Roman" w:eastAsia="Calibri" w:hAnsi="Times New Roman" w:cs="Times New Roman"/>
                <w:spacing w:val="-2"/>
                <w:lang w:eastAsia="en-US"/>
              </w:rPr>
              <w:t xml:space="preserve"> </w:t>
            </w:r>
            <w:r w:rsidR="003C243A" w:rsidRPr="004838AB">
              <w:rPr>
                <w:rFonts w:ascii="Times New Roman" w:eastAsia="Calibri" w:hAnsi="Times New Roman" w:cs="Times New Roman"/>
                <w:spacing w:val="-2"/>
                <w:lang w:eastAsia="en-US"/>
              </w:rPr>
              <w:t>Zwalczanie</w:t>
            </w:r>
            <w:r w:rsidR="007B5B95" w:rsidRPr="004838AB">
              <w:rPr>
                <w:rFonts w:ascii="Times New Roman" w:eastAsia="Calibri" w:hAnsi="Times New Roman" w:cs="Times New Roman"/>
                <w:spacing w:val="-2"/>
                <w:lang w:eastAsia="en-US"/>
              </w:rPr>
              <w:t xml:space="preserve"> nieewidencjonowanego obrotu towarami i wyrobami akcyzowymi</w:t>
            </w:r>
            <w:r w:rsidR="003C243A" w:rsidRPr="004838AB">
              <w:rPr>
                <w:rFonts w:ascii="Times New Roman" w:eastAsia="Calibri" w:hAnsi="Times New Roman" w:cs="Times New Roman"/>
                <w:spacing w:val="-2"/>
                <w:lang w:eastAsia="en-US"/>
              </w:rPr>
              <w:t xml:space="preserve"> spowoduje:</w:t>
            </w:r>
            <w:r w:rsidR="007B5B95" w:rsidRPr="004838AB">
              <w:rPr>
                <w:rFonts w:ascii="Times New Roman" w:eastAsia="Calibri" w:hAnsi="Times New Roman" w:cs="Times New Roman"/>
                <w:spacing w:val="-2"/>
                <w:lang w:eastAsia="en-US"/>
              </w:rPr>
              <w:t xml:space="preserve"> wzmocnienie konkurency</w:t>
            </w:r>
            <w:r w:rsidR="003C243A" w:rsidRPr="004838AB">
              <w:rPr>
                <w:rFonts w:ascii="Times New Roman" w:eastAsia="Calibri" w:hAnsi="Times New Roman" w:cs="Times New Roman"/>
                <w:spacing w:val="-2"/>
                <w:lang w:eastAsia="en-US"/>
              </w:rPr>
              <w:t>jności i stabilności gospodarki, w</w:t>
            </w:r>
            <w:r w:rsidR="007B5B95" w:rsidRPr="004838AB">
              <w:rPr>
                <w:rFonts w:ascii="Times New Roman" w:eastAsia="Calibri" w:hAnsi="Times New Roman" w:cs="Times New Roman"/>
                <w:spacing w:val="-2"/>
                <w:lang w:eastAsia="en-US"/>
              </w:rPr>
              <w:t>zro</w:t>
            </w:r>
            <w:r w:rsidR="003C243A" w:rsidRPr="004838AB">
              <w:rPr>
                <w:rFonts w:ascii="Times New Roman" w:eastAsia="Calibri" w:hAnsi="Times New Roman" w:cs="Times New Roman"/>
                <w:spacing w:val="-2"/>
                <w:lang w:eastAsia="en-US"/>
              </w:rPr>
              <w:t>st bezpieczeństwa</w:t>
            </w:r>
            <w:r w:rsidR="007B5B95" w:rsidRPr="004838AB">
              <w:rPr>
                <w:rFonts w:ascii="Times New Roman" w:eastAsia="Calibri" w:hAnsi="Times New Roman" w:cs="Times New Roman"/>
                <w:spacing w:val="-2"/>
                <w:lang w:eastAsia="en-US"/>
              </w:rPr>
              <w:t xml:space="preserve"> obywateli w zakr</w:t>
            </w:r>
            <w:r w:rsidR="003C243A" w:rsidRPr="004838AB">
              <w:rPr>
                <w:rFonts w:ascii="Times New Roman" w:eastAsia="Calibri" w:hAnsi="Times New Roman" w:cs="Times New Roman"/>
                <w:spacing w:val="-2"/>
                <w:lang w:eastAsia="en-US"/>
              </w:rPr>
              <w:t>esie stosowania towarów, spadek</w:t>
            </w:r>
            <w:r w:rsidR="007B5B95" w:rsidRPr="004838AB">
              <w:rPr>
                <w:rFonts w:ascii="Times New Roman" w:eastAsia="Calibri" w:hAnsi="Times New Roman" w:cs="Times New Roman"/>
                <w:spacing w:val="-2"/>
                <w:lang w:eastAsia="en-US"/>
              </w:rPr>
              <w:t xml:space="preserve"> koszt</w:t>
            </w:r>
            <w:r w:rsidR="003C243A" w:rsidRPr="004838AB">
              <w:rPr>
                <w:rFonts w:ascii="Times New Roman" w:eastAsia="Calibri" w:hAnsi="Times New Roman" w:cs="Times New Roman"/>
                <w:spacing w:val="-2"/>
                <w:lang w:eastAsia="en-US"/>
              </w:rPr>
              <w:t>ów</w:t>
            </w:r>
            <w:r w:rsidR="007B5B95" w:rsidRPr="004838AB">
              <w:rPr>
                <w:rFonts w:ascii="Times New Roman" w:eastAsia="Calibri" w:hAnsi="Times New Roman" w:cs="Times New Roman"/>
                <w:spacing w:val="-2"/>
                <w:lang w:eastAsia="en-US"/>
              </w:rPr>
              <w:t xml:space="preserve"> społeczny</w:t>
            </w:r>
            <w:r w:rsidR="003C243A" w:rsidRPr="004838AB">
              <w:rPr>
                <w:rFonts w:ascii="Times New Roman" w:eastAsia="Calibri" w:hAnsi="Times New Roman" w:cs="Times New Roman"/>
                <w:spacing w:val="-2"/>
                <w:lang w:eastAsia="en-US"/>
              </w:rPr>
              <w:t>ch</w:t>
            </w:r>
            <w:r w:rsidR="007B5B95" w:rsidRPr="004838AB">
              <w:rPr>
                <w:rFonts w:ascii="Times New Roman" w:eastAsia="Calibri" w:hAnsi="Times New Roman" w:cs="Times New Roman"/>
                <w:spacing w:val="-2"/>
                <w:lang w:eastAsia="en-US"/>
              </w:rPr>
              <w:t xml:space="preserve"> wynikający</w:t>
            </w:r>
            <w:r w:rsidR="003C243A" w:rsidRPr="004838AB">
              <w:rPr>
                <w:rFonts w:ascii="Times New Roman" w:eastAsia="Calibri" w:hAnsi="Times New Roman" w:cs="Times New Roman"/>
                <w:spacing w:val="-2"/>
                <w:lang w:eastAsia="en-US"/>
              </w:rPr>
              <w:t>ch</w:t>
            </w:r>
            <w:r w:rsidR="007B5B95" w:rsidRPr="004838AB">
              <w:rPr>
                <w:rFonts w:ascii="Times New Roman" w:eastAsia="Calibri" w:hAnsi="Times New Roman" w:cs="Times New Roman"/>
                <w:spacing w:val="-2"/>
                <w:lang w:eastAsia="en-US"/>
              </w:rPr>
              <w:t xml:space="preserve"> z oszustw i niedoborów podatkowych, </w:t>
            </w:r>
            <w:r w:rsidR="003C243A" w:rsidRPr="004838AB">
              <w:rPr>
                <w:rFonts w:ascii="Times New Roman" w:eastAsia="Calibri" w:hAnsi="Times New Roman" w:cs="Times New Roman"/>
                <w:spacing w:val="-2"/>
                <w:lang w:eastAsia="en-US"/>
              </w:rPr>
              <w:t>pomniejszenie</w:t>
            </w:r>
            <w:r w:rsidR="007B5B95" w:rsidRPr="004838AB">
              <w:rPr>
                <w:rFonts w:ascii="Times New Roman" w:eastAsia="Calibri" w:hAnsi="Times New Roman" w:cs="Times New Roman"/>
                <w:spacing w:val="-2"/>
                <w:lang w:eastAsia="en-US"/>
              </w:rPr>
              <w:t xml:space="preserve"> </w:t>
            </w:r>
            <w:r w:rsidR="00FD009B" w:rsidRPr="004838AB">
              <w:rPr>
                <w:rFonts w:ascii="Times New Roman" w:eastAsia="Calibri" w:hAnsi="Times New Roman" w:cs="Times New Roman"/>
                <w:spacing w:val="-2"/>
                <w:lang w:eastAsia="en-US"/>
              </w:rPr>
              <w:t>szarej strefy</w:t>
            </w:r>
            <w:r w:rsidR="003C243A" w:rsidRPr="004838AB">
              <w:rPr>
                <w:rFonts w:ascii="Times New Roman" w:eastAsia="Calibri" w:hAnsi="Times New Roman" w:cs="Times New Roman"/>
                <w:spacing w:val="-2"/>
                <w:lang w:eastAsia="en-US"/>
              </w:rPr>
              <w:t>, także ja</w:t>
            </w:r>
            <w:r w:rsidR="0043268E" w:rsidRPr="004838AB">
              <w:rPr>
                <w:rFonts w:ascii="Times New Roman" w:eastAsia="Calibri" w:hAnsi="Times New Roman" w:cs="Times New Roman"/>
                <w:spacing w:val="-2"/>
                <w:lang w:eastAsia="en-US"/>
              </w:rPr>
              <w:t>k</w:t>
            </w:r>
            <w:r w:rsidR="003C243A" w:rsidRPr="004838AB">
              <w:rPr>
                <w:rFonts w:ascii="Times New Roman" w:eastAsia="Calibri" w:hAnsi="Times New Roman" w:cs="Times New Roman"/>
                <w:spacing w:val="-2"/>
                <w:lang w:eastAsia="en-US"/>
              </w:rPr>
              <w:t>o źródła nielegalnego finansowania inwestycji.</w:t>
            </w:r>
            <w:r w:rsidR="0043268E" w:rsidRPr="004838AB">
              <w:rPr>
                <w:rFonts w:ascii="Times New Roman" w:eastAsia="Calibri" w:hAnsi="Times New Roman" w:cs="Times New Roman"/>
                <w:spacing w:val="-2"/>
                <w:lang w:eastAsia="en-US"/>
              </w:rPr>
              <w:t xml:space="preserve"> Projektowane rozporządzenie w sprawie przewozu towarów, który nie podlega systemowi monitorowania jest</w:t>
            </w:r>
            <w:r w:rsidR="00ED68FD" w:rsidRPr="004838AB">
              <w:rPr>
                <w:rFonts w:ascii="Times New Roman" w:eastAsia="Calibri" w:hAnsi="Times New Roman" w:cs="Times New Roman"/>
                <w:spacing w:val="-2"/>
                <w:lang w:eastAsia="en-US"/>
              </w:rPr>
              <w:t xml:space="preserve"> komplementarn</w:t>
            </w:r>
            <w:r w:rsidR="0043268E" w:rsidRPr="004838AB">
              <w:rPr>
                <w:rFonts w:ascii="Times New Roman" w:eastAsia="Calibri" w:hAnsi="Times New Roman" w:cs="Times New Roman"/>
                <w:spacing w:val="-2"/>
                <w:lang w:eastAsia="en-US"/>
              </w:rPr>
              <w:t>e w stosunku do</w:t>
            </w:r>
            <w:r w:rsidR="00ED68FD" w:rsidRPr="004838AB">
              <w:rPr>
                <w:rFonts w:ascii="Times New Roman" w:eastAsia="Calibri" w:hAnsi="Times New Roman" w:cs="Times New Roman"/>
                <w:spacing w:val="-2"/>
                <w:lang w:eastAsia="en-US"/>
              </w:rPr>
              <w:t xml:space="preserve"> </w:t>
            </w:r>
            <w:r w:rsidR="0043268E" w:rsidRPr="004838AB">
              <w:rPr>
                <w:rFonts w:ascii="Times New Roman" w:eastAsia="Calibri" w:hAnsi="Times New Roman" w:cs="Times New Roman"/>
                <w:spacing w:val="-2"/>
                <w:lang w:eastAsia="en-US"/>
              </w:rPr>
              <w:t xml:space="preserve">projektowanej </w:t>
            </w:r>
            <w:r w:rsidR="00ED68FD" w:rsidRPr="004838AB">
              <w:rPr>
                <w:rFonts w:ascii="Times New Roman" w:eastAsia="Calibri" w:hAnsi="Times New Roman" w:cs="Times New Roman"/>
                <w:spacing w:val="-2"/>
                <w:lang w:eastAsia="en-US"/>
              </w:rPr>
              <w:t>ustawy</w:t>
            </w:r>
            <w:r w:rsidR="0043268E" w:rsidRPr="004838AB">
              <w:t xml:space="preserve"> </w:t>
            </w:r>
            <w:r w:rsidR="0043268E" w:rsidRPr="004838AB">
              <w:rPr>
                <w:rFonts w:ascii="Times New Roman" w:eastAsia="Calibri" w:hAnsi="Times New Roman" w:cs="Times New Roman"/>
                <w:spacing w:val="-2"/>
                <w:lang w:eastAsia="en-US"/>
              </w:rPr>
              <w:t>o systemie monitorowania drogowego przewozu towarów.</w:t>
            </w:r>
            <w:r w:rsidR="00ED68FD" w:rsidRPr="004838AB">
              <w:rPr>
                <w:rFonts w:ascii="Times New Roman" w:eastAsia="Calibri" w:hAnsi="Times New Roman" w:cs="Times New Roman"/>
                <w:spacing w:val="-2"/>
                <w:lang w:eastAsia="en-US"/>
              </w:rPr>
              <w:t xml:space="preserve"> </w:t>
            </w:r>
            <w:r w:rsidR="006B19F5" w:rsidRPr="004838AB">
              <w:rPr>
                <w:rFonts w:ascii="Times New Roman" w:eastAsia="Calibri" w:hAnsi="Times New Roman" w:cs="Times New Roman"/>
                <w:spacing w:val="-2"/>
                <w:lang w:eastAsia="en-US"/>
              </w:rPr>
              <w:t xml:space="preserve">Sposób i zakres działania wprowadzany ustawą, zastosowany do grup towarów nieobjętych wyłączeniem w rozporządzeniu, spowoduje łączny skutek finansowy </w:t>
            </w:r>
            <w:r w:rsidR="0043268E" w:rsidRPr="004838AB">
              <w:rPr>
                <w:rFonts w:ascii="Times New Roman" w:eastAsia="Calibri" w:hAnsi="Times New Roman" w:cs="Times New Roman"/>
                <w:spacing w:val="-2"/>
                <w:lang w:eastAsia="en-US"/>
              </w:rPr>
              <w:t xml:space="preserve">w postaci wzrostu dochodów budżetu państwa o ok. </w:t>
            </w:r>
            <w:r w:rsidR="00FD009B" w:rsidRPr="004838AB">
              <w:rPr>
                <w:rFonts w:ascii="Times New Roman" w:eastAsia="Calibri" w:hAnsi="Times New Roman" w:cs="Times New Roman"/>
                <w:spacing w:val="-2"/>
                <w:lang w:eastAsia="en-US"/>
              </w:rPr>
              <w:t>154,4 mln zł w roku 2017</w:t>
            </w:r>
            <w:r w:rsidR="0043268E" w:rsidRPr="004838AB">
              <w:rPr>
                <w:rFonts w:ascii="Times New Roman" w:eastAsia="Calibri" w:hAnsi="Times New Roman" w:cs="Times New Roman"/>
                <w:spacing w:val="-2"/>
                <w:lang w:eastAsia="en-US"/>
              </w:rPr>
              <w:t xml:space="preserve">. </w:t>
            </w:r>
            <w:r w:rsidR="006B19F5" w:rsidRPr="004838AB">
              <w:rPr>
                <w:rFonts w:ascii="Times New Roman" w:eastAsia="Calibri" w:hAnsi="Times New Roman" w:cs="Times New Roman"/>
                <w:spacing w:val="-2"/>
                <w:lang w:eastAsia="en-US"/>
              </w:rPr>
              <w:t xml:space="preserve"> </w:t>
            </w:r>
          </w:p>
          <w:p w:rsidR="008017B8" w:rsidRPr="004838AB" w:rsidRDefault="00951846" w:rsidP="00B843F8">
            <w:pPr>
              <w:widowControl w:val="0"/>
              <w:spacing w:before="120" w:after="0" w:line="240" w:lineRule="auto"/>
              <w:jc w:val="both"/>
              <w:rPr>
                <w:rFonts w:ascii="Times New Roman" w:eastAsia="Calibri" w:hAnsi="Times New Roman" w:cs="Times New Roman"/>
                <w:spacing w:val="-2"/>
                <w:lang w:eastAsia="en-US"/>
              </w:rPr>
            </w:pPr>
            <w:r w:rsidRPr="004838AB">
              <w:rPr>
                <w:rFonts w:ascii="Times New Roman" w:eastAsia="Calibri" w:hAnsi="Times New Roman" w:cs="Times New Roman"/>
                <w:spacing w:val="-2"/>
                <w:lang w:eastAsia="en-US"/>
              </w:rPr>
              <w:t>O</w:t>
            </w:r>
            <w:r w:rsidR="00231D1F" w:rsidRPr="004838AB">
              <w:rPr>
                <w:rFonts w:ascii="Times New Roman" w:eastAsia="Calibri" w:hAnsi="Times New Roman" w:cs="Times New Roman"/>
                <w:spacing w:val="-2"/>
                <w:lang w:eastAsia="en-US"/>
              </w:rPr>
              <w:t>siągnięcie zakłada</w:t>
            </w:r>
            <w:r w:rsidRPr="004838AB">
              <w:rPr>
                <w:rFonts w:ascii="Times New Roman" w:eastAsia="Calibri" w:hAnsi="Times New Roman" w:cs="Times New Roman"/>
                <w:spacing w:val="-2"/>
                <w:lang w:eastAsia="en-US"/>
              </w:rPr>
              <w:t>nego celu może zostać wyhamowane</w:t>
            </w:r>
            <w:r w:rsidR="00231D1F" w:rsidRPr="004838AB">
              <w:rPr>
                <w:rFonts w:ascii="Times New Roman" w:eastAsia="Calibri" w:hAnsi="Times New Roman" w:cs="Times New Roman"/>
                <w:spacing w:val="-2"/>
                <w:lang w:eastAsia="en-US"/>
              </w:rPr>
              <w:t xml:space="preserve"> przez czynniki zewnętrzne wpływające na obszary obejmowane regulacją, np. zmiana struktury przepływów towarowych</w:t>
            </w:r>
            <w:r w:rsidRPr="004838AB">
              <w:rPr>
                <w:rFonts w:ascii="Times New Roman" w:eastAsia="Calibri" w:hAnsi="Times New Roman" w:cs="Times New Roman"/>
                <w:spacing w:val="-2"/>
                <w:lang w:eastAsia="en-US"/>
              </w:rPr>
              <w:t xml:space="preserve"> czy zmianę</w:t>
            </w:r>
            <w:r w:rsidR="00A93AB5" w:rsidRPr="004838AB">
              <w:rPr>
                <w:rFonts w:ascii="Times New Roman" w:eastAsia="Calibri" w:hAnsi="Times New Roman" w:cs="Times New Roman"/>
                <w:spacing w:val="-2"/>
                <w:lang w:eastAsia="en-US"/>
              </w:rPr>
              <w:t xml:space="preserve"> struktury </w:t>
            </w:r>
            <w:r w:rsidR="00974B44" w:rsidRPr="004838AB">
              <w:rPr>
                <w:rFonts w:ascii="Times New Roman" w:eastAsia="Calibri" w:hAnsi="Times New Roman" w:cs="Times New Roman"/>
                <w:spacing w:val="-2"/>
                <w:lang w:eastAsia="en-US"/>
              </w:rPr>
              <w:t xml:space="preserve">krajowego </w:t>
            </w:r>
            <w:r w:rsidR="00A93AB5" w:rsidRPr="004838AB">
              <w:rPr>
                <w:rFonts w:ascii="Times New Roman" w:eastAsia="Calibri" w:hAnsi="Times New Roman" w:cs="Times New Roman"/>
                <w:spacing w:val="-2"/>
                <w:lang w:eastAsia="en-US"/>
              </w:rPr>
              <w:t>rynku paliw</w:t>
            </w:r>
            <w:r w:rsidR="00974B44" w:rsidRPr="004838AB">
              <w:rPr>
                <w:rFonts w:ascii="Times New Roman" w:eastAsia="Calibri" w:hAnsi="Times New Roman" w:cs="Times New Roman"/>
                <w:spacing w:val="-2"/>
                <w:lang w:eastAsia="en-US"/>
              </w:rPr>
              <w:t>,</w:t>
            </w:r>
            <w:r w:rsidR="00A93AB5" w:rsidRPr="004838AB">
              <w:rPr>
                <w:rFonts w:ascii="Times New Roman" w:eastAsia="Calibri" w:hAnsi="Times New Roman" w:cs="Times New Roman"/>
                <w:spacing w:val="-2"/>
                <w:lang w:eastAsia="en-US"/>
              </w:rPr>
              <w:t xml:space="preserve"> zarówno w zakresie operatoró</w:t>
            </w:r>
            <w:r w:rsidR="00974B44" w:rsidRPr="004838AB">
              <w:rPr>
                <w:rFonts w:ascii="Times New Roman" w:eastAsia="Calibri" w:hAnsi="Times New Roman" w:cs="Times New Roman"/>
                <w:spacing w:val="-2"/>
                <w:lang w:eastAsia="en-US"/>
              </w:rPr>
              <w:t xml:space="preserve">w rynku, jak też zużycia </w:t>
            </w:r>
            <w:r w:rsidR="00A93AB5" w:rsidRPr="004838AB">
              <w:rPr>
                <w:rFonts w:ascii="Times New Roman" w:eastAsia="Calibri" w:hAnsi="Times New Roman" w:cs="Times New Roman"/>
                <w:spacing w:val="-2"/>
                <w:lang w:eastAsia="en-US"/>
              </w:rPr>
              <w:t>paliw wg rodzajów.</w:t>
            </w:r>
          </w:p>
          <w:p w:rsidR="007E1A4E" w:rsidRPr="004838AB" w:rsidRDefault="00F2639F" w:rsidP="009B74E1">
            <w:pPr>
              <w:widowControl w:val="0"/>
              <w:spacing w:before="120" w:after="0" w:line="240" w:lineRule="auto"/>
              <w:jc w:val="both"/>
              <w:rPr>
                <w:rFonts w:ascii="Times New Roman" w:eastAsia="Calibri" w:hAnsi="Times New Roman" w:cs="Times New Roman"/>
                <w:spacing w:val="-2"/>
                <w:lang w:eastAsia="en-US"/>
              </w:rPr>
            </w:pPr>
            <w:r w:rsidRPr="004838AB">
              <w:rPr>
                <w:rFonts w:ascii="Times New Roman" w:eastAsia="Calibri" w:hAnsi="Times New Roman" w:cs="Times New Roman"/>
                <w:spacing w:val="-2"/>
                <w:lang w:eastAsia="en-US"/>
              </w:rPr>
              <w:t>Przepisy projektowane</w:t>
            </w:r>
            <w:r w:rsidR="009B74E1">
              <w:rPr>
                <w:rFonts w:ascii="Times New Roman" w:eastAsia="Calibri" w:hAnsi="Times New Roman" w:cs="Times New Roman"/>
                <w:spacing w:val="-2"/>
                <w:lang w:eastAsia="en-US"/>
              </w:rPr>
              <w:t>go</w:t>
            </w:r>
            <w:r w:rsidRPr="004838AB">
              <w:rPr>
                <w:rFonts w:ascii="Times New Roman" w:eastAsia="Calibri" w:hAnsi="Times New Roman" w:cs="Times New Roman"/>
                <w:spacing w:val="-2"/>
                <w:lang w:eastAsia="en-US"/>
              </w:rPr>
              <w:t xml:space="preserve"> </w:t>
            </w:r>
            <w:r w:rsidR="009B74E1">
              <w:rPr>
                <w:rFonts w:ascii="Times New Roman" w:eastAsia="Calibri" w:hAnsi="Times New Roman" w:cs="Times New Roman"/>
                <w:spacing w:val="-2"/>
                <w:lang w:eastAsia="en-US"/>
              </w:rPr>
              <w:t>rozporządzenia</w:t>
            </w:r>
            <w:r w:rsidRPr="004838AB">
              <w:rPr>
                <w:rFonts w:ascii="Times New Roman" w:eastAsia="Calibri" w:hAnsi="Times New Roman" w:cs="Times New Roman"/>
                <w:spacing w:val="-2"/>
                <w:lang w:eastAsia="en-US"/>
              </w:rPr>
              <w:t xml:space="preserve"> są zgodne z prawem Unii Europejskiej.</w:t>
            </w:r>
          </w:p>
        </w:tc>
      </w:tr>
      <w:tr w:rsidR="00385568" w:rsidRPr="00385568" w:rsidTr="00030232">
        <w:trPr>
          <w:trHeight w:val="307"/>
        </w:trPr>
        <w:tc>
          <w:tcPr>
            <w:tcW w:w="10692" w:type="dxa"/>
            <w:gridSpan w:val="26"/>
            <w:shd w:val="clear" w:color="auto" w:fill="99CCFF"/>
            <w:vAlign w:val="center"/>
          </w:tcPr>
          <w:p w:rsidR="00385568" w:rsidRPr="00DD79F7" w:rsidRDefault="00385568" w:rsidP="00E96EF7">
            <w:pPr>
              <w:numPr>
                <w:ilvl w:val="0"/>
                <w:numId w:val="9"/>
              </w:numPr>
              <w:spacing w:before="60" w:after="60" w:line="240" w:lineRule="auto"/>
              <w:ind w:left="318" w:hanging="284"/>
              <w:jc w:val="both"/>
              <w:rPr>
                <w:rFonts w:ascii="Times New Roman" w:eastAsia="Calibri" w:hAnsi="Times New Roman" w:cs="Times New Roman"/>
                <w:b/>
                <w:color w:val="000000"/>
                <w:lang w:eastAsia="en-US"/>
              </w:rPr>
            </w:pPr>
            <w:r w:rsidRPr="00DD79F7">
              <w:rPr>
                <w:rFonts w:ascii="Times New Roman" w:eastAsia="Calibri" w:hAnsi="Times New Roman" w:cs="Times New Roman"/>
                <w:b/>
                <w:spacing w:val="-2"/>
                <w:lang w:eastAsia="en-US"/>
              </w:rPr>
              <w:lastRenderedPageBreak/>
              <w:t>Jak problem został rozwiązany w innych krajach, w szczególności krajach członkowskich OECD/UE</w:t>
            </w:r>
            <w:r w:rsidRPr="00DD79F7">
              <w:rPr>
                <w:rFonts w:ascii="Times New Roman" w:eastAsia="Calibri" w:hAnsi="Times New Roman" w:cs="Times New Roman"/>
                <w:b/>
                <w:color w:val="000000"/>
                <w:lang w:eastAsia="en-US"/>
              </w:rPr>
              <w:t>?</w:t>
            </w:r>
            <w:r w:rsidRPr="00DD79F7">
              <w:rPr>
                <w:rFonts w:ascii="Times New Roman" w:eastAsia="Calibri" w:hAnsi="Times New Roman" w:cs="Times New Roman"/>
                <w:i/>
                <w:color w:val="000000"/>
                <w:lang w:eastAsia="en-US"/>
              </w:rPr>
              <w:t xml:space="preserve"> </w:t>
            </w:r>
          </w:p>
        </w:tc>
      </w:tr>
      <w:tr w:rsidR="00385568" w:rsidRPr="00385568" w:rsidTr="00030232">
        <w:trPr>
          <w:trHeight w:val="142"/>
        </w:trPr>
        <w:tc>
          <w:tcPr>
            <w:tcW w:w="10692" w:type="dxa"/>
            <w:gridSpan w:val="26"/>
            <w:shd w:val="clear" w:color="auto" w:fill="auto"/>
          </w:tcPr>
          <w:p w:rsidR="00E911EC" w:rsidRDefault="00B6382B" w:rsidP="008017B8">
            <w:pPr>
              <w:spacing w:after="0" w:line="240" w:lineRule="auto"/>
              <w:jc w:val="both"/>
              <w:rPr>
                <w:rFonts w:ascii="Times New Roman" w:eastAsia="Calibri" w:hAnsi="Times New Roman" w:cs="Times New Roman"/>
                <w:color w:val="000000"/>
                <w:spacing w:val="-2"/>
                <w:lang w:eastAsia="en-US"/>
              </w:rPr>
            </w:pPr>
            <w:r w:rsidRPr="00B6382B">
              <w:rPr>
                <w:rFonts w:ascii="Times New Roman" w:eastAsia="Calibri" w:hAnsi="Times New Roman" w:cs="Times New Roman"/>
                <w:color w:val="000000"/>
                <w:spacing w:val="-2"/>
                <w:lang w:eastAsia="en-US"/>
              </w:rPr>
              <w:t>Na Węgrzech od 1 stycznia 2015 r. funkcjonuje tzw. Elektroniczny Drogowy System Kontroli Drogowego Przewozu Towarowego (EKAER). W myśl obowiązujących przepisów transporty towarów zakupionych w Unii, dostawy wewnątrzwspólnotowe i pierwsza podlegająca opodatkowaniu sprzedaż realizowane przez klientów niebędących ich ostatecznymi konsumentami może być realizowana jedynie przez podatników posiadających numer identyfikacyjny EKAER.</w:t>
            </w:r>
          </w:p>
          <w:p w:rsidR="008017B8" w:rsidRDefault="00B6382B" w:rsidP="008017B8">
            <w:pPr>
              <w:spacing w:after="0" w:line="240" w:lineRule="auto"/>
              <w:jc w:val="both"/>
              <w:rPr>
                <w:rFonts w:ascii="Times New Roman" w:eastAsia="Calibri" w:hAnsi="Times New Roman" w:cs="Times New Roman"/>
                <w:color w:val="000000"/>
                <w:spacing w:val="-2"/>
                <w:lang w:eastAsia="en-US"/>
              </w:rPr>
            </w:pPr>
            <w:r w:rsidRPr="00B6382B">
              <w:rPr>
                <w:rFonts w:ascii="Times New Roman" w:eastAsia="Calibri" w:hAnsi="Times New Roman" w:cs="Times New Roman"/>
                <w:color w:val="000000"/>
                <w:spacing w:val="-2"/>
                <w:lang w:eastAsia="en-US"/>
              </w:rPr>
              <w:lastRenderedPageBreak/>
              <w:t>System kontroli przewozu towarów wdrożyła także Portugalia. Od 1 lipca 2013 r. wprowadzono nowe zasady transportowe dotyczące obowiązku powiadomienia portugalskiego urzędu podatkowego i celnego o wszelkich realizowanych przewozach towarów wraz z dostarczeniem szczegółowej informacji o ich załadunku.</w:t>
            </w:r>
          </w:p>
          <w:p w:rsidR="00B6382B" w:rsidRPr="00DD79F7" w:rsidRDefault="00B6382B" w:rsidP="00B16C93">
            <w:pPr>
              <w:spacing w:after="0" w:line="240" w:lineRule="auto"/>
              <w:jc w:val="both"/>
              <w:rPr>
                <w:rFonts w:ascii="Times New Roman" w:eastAsia="Calibri" w:hAnsi="Times New Roman" w:cs="Times New Roman"/>
                <w:color w:val="000000"/>
                <w:spacing w:val="-2"/>
                <w:lang w:eastAsia="en-US"/>
              </w:rPr>
            </w:pPr>
            <w:r w:rsidRPr="00B6382B">
              <w:rPr>
                <w:rFonts w:ascii="Times New Roman" w:eastAsia="Calibri" w:hAnsi="Times New Roman" w:cs="Times New Roman"/>
                <w:color w:val="000000"/>
                <w:spacing w:val="-2"/>
                <w:lang w:eastAsia="en-US"/>
              </w:rPr>
              <w:t>W przypadku Niemiec obowiązek rejestracji przewozu dotyczy tranzytu kawy (palonej, zmielonej lub rozpuszczalnej – bez surowej) sprowadzanej z innego państwa członkowskiego Unii Europejskiej albo państwa trzeciego.</w:t>
            </w:r>
          </w:p>
        </w:tc>
      </w:tr>
      <w:tr w:rsidR="00385568" w:rsidRPr="00385568" w:rsidTr="00030232">
        <w:trPr>
          <w:trHeight w:val="359"/>
        </w:trPr>
        <w:tc>
          <w:tcPr>
            <w:tcW w:w="10692" w:type="dxa"/>
            <w:gridSpan w:val="26"/>
            <w:shd w:val="clear" w:color="auto" w:fill="99CCFF"/>
            <w:vAlign w:val="center"/>
          </w:tcPr>
          <w:p w:rsidR="00385568" w:rsidRPr="00DD79F7" w:rsidRDefault="00385568" w:rsidP="00E96EF7">
            <w:pPr>
              <w:numPr>
                <w:ilvl w:val="0"/>
                <w:numId w:val="9"/>
              </w:numPr>
              <w:spacing w:before="60" w:after="60" w:line="240" w:lineRule="auto"/>
              <w:ind w:left="318" w:hanging="284"/>
              <w:jc w:val="both"/>
              <w:rPr>
                <w:rFonts w:ascii="Times New Roman" w:eastAsia="Calibri" w:hAnsi="Times New Roman" w:cs="Times New Roman"/>
                <w:b/>
                <w:color w:val="000000"/>
                <w:lang w:eastAsia="en-US"/>
              </w:rPr>
            </w:pPr>
            <w:r w:rsidRPr="00DD79F7">
              <w:rPr>
                <w:rFonts w:ascii="Times New Roman" w:eastAsia="Calibri" w:hAnsi="Times New Roman" w:cs="Times New Roman"/>
                <w:b/>
                <w:color w:val="000000"/>
                <w:lang w:eastAsia="en-US"/>
              </w:rPr>
              <w:lastRenderedPageBreak/>
              <w:t>Podmioty, na które oddziałuje projekt</w:t>
            </w:r>
          </w:p>
        </w:tc>
      </w:tr>
      <w:tr w:rsidR="00385568" w:rsidRPr="00385568" w:rsidTr="00030232">
        <w:trPr>
          <w:trHeight w:val="142"/>
        </w:trPr>
        <w:tc>
          <w:tcPr>
            <w:tcW w:w="2665" w:type="dxa"/>
            <w:gridSpan w:val="3"/>
            <w:shd w:val="clear" w:color="auto" w:fill="auto"/>
          </w:tcPr>
          <w:p w:rsidR="00385568" w:rsidRPr="00DD79F7" w:rsidRDefault="00385568" w:rsidP="00E96EF7">
            <w:pPr>
              <w:spacing w:before="40" w:after="0" w:line="240" w:lineRule="auto"/>
              <w:jc w:val="center"/>
              <w:rPr>
                <w:rFonts w:ascii="Times New Roman" w:eastAsia="Calibri" w:hAnsi="Times New Roman" w:cs="Times New Roman"/>
                <w:color w:val="000000"/>
                <w:spacing w:val="-2"/>
                <w:lang w:eastAsia="en-US"/>
              </w:rPr>
            </w:pPr>
            <w:r w:rsidRPr="00DD79F7">
              <w:rPr>
                <w:rFonts w:ascii="Times New Roman" w:eastAsia="Calibri" w:hAnsi="Times New Roman" w:cs="Times New Roman"/>
                <w:color w:val="000000"/>
                <w:spacing w:val="-2"/>
                <w:lang w:eastAsia="en-US"/>
              </w:rPr>
              <w:t>Grupa</w:t>
            </w:r>
          </w:p>
        </w:tc>
        <w:tc>
          <w:tcPr>
            <w:tcW w:w="2292" w:type="dxa"/>
            <w:gridSpan w:val="7"/>
            <w:shd w:val="clear" w:color="auto" w:fill="auto"/>
          </w:tcPr>
          <w:p w:rsidR="00385568" w:rsidRPr="00DD79F7" w:rsidRDefault="00385568" w:rsidP="00E96EF7">
            <w:pPr>
              <w:spacing w:before="40" w:after="0" w:line="240" w:lineRule="auto"/>
              <w:jc w:val="center"/>
              <w:rPr>
                <w:rFonts w:ascii="Times New Roman" w:eastAsia="Calibri" w:hAnsi="Times New Roman" w:cs="Times New Roman"/>
                <w:color w:val="000000"/>
                <w:spacing w:val="-2"/>
                <w:lang w:eastAsia="en-US"/>
              </w:rPr>
            </w:pPr>
            <w:r w:rsidRPr="00DD79F7">
              <w:rPr>
                <w:rFonts w:ascii="Times New Roman" w:eastAsia="Calibri" w:hAnsi="Times New Roman" w:cs="Times New Roman"/>
                <w:color w:val="000000"/>
                <w:spacing w:val="-2"/>
                <w:lang w:eastAsia="en-US"/>
              </w:rPr>
              <w:t>Wielkość</w:t>
            </w:r>
          </w:p>
        </w:tc>
        <w:tc>
          <w:tcPr>
            <w:tcW w:w="2996" w:type="dxa"/>
            <w:gridSpan w:val="11"/>
            <w:shd w:val="clear" w:color="auto" w:fill="auto"/>
          </w:tcPr>
          <w:p w:rsidR="00385568" w:rsidRPr="00385568" w:rsidRDefault="00385568" w:rsidP="00E96EF7">
            <w:pPr>
              <w:spacing w:before="40" w:after="0" w:line="240" w:lineRule="auto"/>
              <w:jc w:val="center"/>
              <w:rPr>
                <w:rFonts w:ascii="Times New Roman" w:eastAsia="Calibri" w:hAnsi="Times New Roman" w:cs="Times New Roman"/>
                <w:color w:val="000000"/>
                <w:spacing w:val="-2"/>
                <w:lang w:eastAsia="en-US"/>
              </w:rPr>
            </w:pPr>
            <w:r w:rsidRPr="00385568">
              <w:rPr>
                <w:rFonts w:ascii="Times New Roman" w:eastAsia="Calibri" w:hAnsi="Times New Roman" w:cs="Times New Roman"/>
                <w:color w:val="000000"/>
                <w:spacing w:val="-2"/>
                <w:lang w:eastAsia="en-US"/>
              </w:rPr>
              <w:t>Źródło danych</w:t>
            </w:r>
            <w:r w:rsidRPr="00385568" w:rsidDel="00260F33">
              <w:rPr>
                <w:rFonts w:ascii="Times New Roman" w:eastAsia="Calibri" w:hAnsi="Times New Roman" w:cs="Times New Roman"/>
                <w:color w:val="000000"/>
                <w:spacing w:val="-2"/>
                <w:lang w:eastAsia="en-US"/>
              </w:rPr>
              <w:t xml:space="preserve"> </w:t>
            </w:r>
          </w:p>
        </w:tc>
        <w:tc>
          <w:tcPr>
            <w:tcW w:w="2739" w:type="dxa"/>
            <w:gridSpan w:val="5"/>
            <w:shd w:val="clear" w:color="auto" w:fill="auto"/>
          </w:tcPr>
          <w:p w:rsidR="00385568" w:rsidRPr="00385568" w:rsidRDefault="00385568" w:rsidP="00E96EF7">
            <w:pPr>
              <w:spacing w:before="40" w:after="0" w:line="240" w:lineRule="auto"/>
              <w:jc w:val="center"/>
              <w:rPr>
                <w:rFonts w:ascii="Times New Roman" w:eastAsia="Calibri" w:hAnsi="Times New Roman" w:cs="Times New Roman"/>
                <w:color w:val="000000"/>
                <w:spacing w:val="-2"/>
                <w:lang w:eastAsia="en-US"/>
              </w:rPr>
            </w:pPr>
            <w:r w:rsidRPr="00385568">
              <w:rPr>
                <w:rFonts w:ascii="Times New Roman" w:eastAsia="Calibri" w:hAnsi="Times New Roman" w:cs="Times New Roman"/>
                <w:color w:val="000000"/>
                <w:spacing w:val="-2"/>
                <w:lang w:eastAsia="en-US"/>
              </w:rPr>
              <w:t>Oddziaływanie</w:t>
            </w:r>
          </w:p>
        </w:tc>
      </w:tr>
      <w:tr w:rsidR="00DE579D" w:rsidRPr="00385568" w:rsidTr="00030232">
        <w:trPr>
          <w:trHeight w:val="142"/>
        </w:trPr>
        <w:tc>
          <w:tcPr>
            <w:tcW w:w="2665" w:type="dxa"/>
            <w:gridSpan w:val="3"/>
            <w:shd w:val="clear" w:color="auto" w:fill="auto"/>
          </w:tcPr>
          <w:p w:rsidR="00DE579D" w:rsidRPr="00DD79F7" w:rsidRDefault="00DE579D" w:rsidP="00FB24B0">
            <w:pPr>
              <w:spacing w:before="40" w:after="0" w:line="240" w:lineRule="auto"/>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Krajowi przedsiębiorcy uprawnieni do przewozu rzeczy w UE, w tym: p</w:t>
            </w:r>
            <w:r w:rsidR="00FB24B0">
              <w:rPr>
                <w:rFonts w:ascii="Times New Roman" w:eastAsia="Calibri" w:hAnsi="Times New Roman" w:cs="Times New Roman"/>
                <w:color w:val="000000"/>
                <w:spacing w:val="-2"/>
                <w:lang w:eastAsia="en-US"/>
              </w:rPr>
              <w:t xml:space="preserve">odmioty wysyłające oraz podmioty </w:t>
            </w:r>
            <w:r>
              <w:rPr>
                <w:rFonts w:ascii="Times New Roman" w:eastAsia="Calibri" w:hAnsi="Times New Roman" w:cs="Times New Roman"/>
                <w:color w:val="000000"/>
                <w:spacing w:val="-2"/>
                <w:lang w:eastAsia="en-US"/>
              </w:rPr>
              <w:t>dokonujące tranzytu przez terytorium RP</w:t>
            </w:r>
          </w:p>
        </w:tc>
        <w:tc>
          <w:tcPr>
            <w:tcW w:w="2292" w:type="dxa"/>
            <w:gridSpan w:val="7"/>
            <w:shd w:val="clear" w:color="auto" w:fill="auto"/>
          </w:tcPr>
          <w:p w:rsidR="00DE579D" w:rsidRPr="0009766A" w:rsidRDefault="00DE579D" w:rsidP="00DE579D">
            <w:pPr>
              <w:spacing w:before="40" w:after="0" w:line="240" w:lineRule="auto"/>
              <w:rPr>
                <w:rFonts w:ascii="Times New Roman" w:eastAsia="Calibri" w:hAnsi="Times New Roman" w:cs="Times New Roman"/>
                <w:color w:val="000000"/>
                <w:spacing w:val="-2"/>
                <w:lang w:eastAsia="en-US"/>
              </w:rPr>
            </w:pPr>
            <w:r w:rsidRPr="0009766A">
              <w:rPr>
                <w:rFonts w:ascii="Times New Roman" w:eastAsia="Calibri" w:hAnsi="Times New Roman" w:cs="Times New Roman"/>
                <w:color w:val="000000"/>
                <w:spacing w:val="-2"/>
                <w:lang w:eastAsia="en-US"/>
              </w:rPr>
              <w:t>Ok. 29 000 podmiotów</w:t>
            </w:r>
          </w:p>
        </w:tc>
        <w:tc>
          <w:tcPr>
            <w:tcW w:w="2996" w:type="dxa"/>
            <w:gridSpan w:val="11"/>
            <w:shd w:val="clear" w:color="auto" w:fill="auto"/>
          </w:tcPr>
          <w:p w:rsidR="00DE579D" w:rsidRPr="00385568" w:rsidRDefault="00DE579D" w:rsidP="00DE579D">
            <w:pPr>
              <w:spacing w:before="40" w:after="0" w:line="240" w:lineRule="auto"/>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Raport Zrzeszenia Międzynarodowych Przewoźników w Polsce za rok 2013</w:t>
            </w:r>
          </w:p>
        </w:tc>
        <w:tc>
          <w:tcPr>
            <w:tcW w:w="2739" w:type="dxa"/>
            <w:gridSpan w:val="5"/>
            <w:shd w:val="clear" w:color="auto" w:fill="auto"/>
          </w:tcPr>
          <w:p w:rsidR="0009766A" w:rsidRPr="00385568" w:rsidRDefault="00DE579D" w:rsidP="00AB22C7">
            <w:pPr>
              <w:spacing w:before="40" w:after="0" w:line="240" w:lineRule="auto"/>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Obowiązki związane ze zgłoszeniem do rejestru i</w:t>
            </w:r>
            <w:r w:rsidR="00B2644E">
              <w:rPr>
                <w:rFonts w:ascii="Times New Roman" w:eastAsia="Calibri" w:hAnsi="Times New Roman" w:cs="Times New Roman"/>
                <w:color w:val="000000"/>
                <w:spacing w:val="-2"/>
                <w:lang w:eastAsia="en-US"/>
              </w:rPr>
              <w:t> </w:t>
            </w:r>
            <w:r>
              <w:rPr>
                <w:rFonts w:ascii="Times New Roman" w:eastAsia="Calibri" w:hAnsi="Times New Roman" w:cs="Times New Roman"/>
                <w:color w:val="000000"/>
                <w:spacing w:val="-2"/>
                <w:lang w:eastAsia="en-US"/>
              </w:rPr>
              <w:t>uzupełnianiem danych, zabezpieczenie możliwości lokalizacji przewozów; poszerzenie istniejących procedur wewnętrznych firm: lokalizacja, systemowa obsługa dokumentacji przewozów.</w:t>
            </w:r>
            <w:r w:rsidR="002E5622">
              <w:rPr>
                <w:rFonts w:ascii="Times New Roman" w:eastAsia="Calibri" w:hAnsi="Times New Roman" w:cs="Times New Roman"/>
                <w:color w:val="000000"/>
                <w:spacing w:val="-2"/>
                <w:lang w:eastAsia="en-US"/>
              </w:rPr>
              <w:t xml:space="preserve"> </w:t>
            </w:r>
            <w:r w:rsidR="002E5622" w:rsidRPr="003D33D5">
              <w:rPr>
                <w:rFonts w:ascii="Times New Roman" w:eastAsia="Calibri" w:hAnsi="Times New Roman" w:cs="Times New Roman"/>
                <w:color w:val="000000"/>
                <w:spacing w:val="-2"/>
                <w:lang w:eastAsia="en-US"/>
              </w:rPr>
              <w:t xml:space="preserve">Koszt pojedynczego urządzenia </w:t>
            </w:r>
            <w:r w:rsidR="00AB22C7" w:rsidRPr="003D33D5">
              <w:rPr>
                <w:rFonts w:ascii="Times New Roman" w:eastAsia="Calibri" w:hAnsi="Times New Roman" w:cs="Times New Roman"/>
                <w:color w:val="000000"/>
                <w:spacing w:val="-2"/>
                <w:lang w:eastAsia="en-US"/>
              </w:rPr>
              <w:t>GPS z abonamentem miesięcznym 300-500 zł</w:t>
            </w:r>
          </w:p>
        </w:tc>
      </w:tr>
      <w:tr w:rsidR="0017785E" w:rsidRPr="00385568" w:rsidTr="00030232">
        <w:trPr>
          <w:trHeight w:val="142"/>
        </w:trPr>
        <w:tc>
          <w:tcPr>
            <w:tcW w:w="2665" w:type="dxa"/>
            <w:gridSpan w:val="3"/>
            <w:shd w:val="clear" w:color="auto" w:fill="auto"/>
          </w:tcPr>
          <w:p w:rsidR="0017785E" w:rsidRPr="00DD79F7" w:rsidRDefault="000F2FC5" w:rsidP="00DE579D">
            <w:pPr>
              <w:spacing w:before="120" w:after="120" w:line="240" w:lineRule="auto"/>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Kierujący pojazdami zatrudnieni</w:t>
            </w:r>
            <w:r w:rsidR="004A0E8D">
              <w:rPr>
                <w:rFonts w:ascii="Times New Roman" w:eastAsia="Calibri" w:hAnsi="Times New Roman" w:cs="Times New Roman"/>
                <w:color w:val="000000"/>
                <w:spacing w:val="-2"/>
                <w:lang w:eastAsia="en-US"/>
              </w:rPr>
              <w:t xml:space="preserve"> na terytorium RP</w:t>
            </w:r>
            <w:r w:rsidR="003201D9">
              <w:rPr>
                <w:rFonts w:ascii="Times New Roman" w:eastAsia="Calibri" w:hAnsi="Times New Roman" w:cs="Times New Roman"/>
                <w:color w:val="000000"/>
                <w:spacing w:val="-2"/>
                <w:lang w:eastAsia="en-US"/>
              </w:rPr>
              <w:t xml:space="preserve"> przez podmioty powyżej 9 osób</w:t>
            </w:r>
          </w:p>
        </w:tc>
        <w:tc>
          <w:tcPr>
            <w:tcW w:w="2292" w:type="dxa"/>
            <w:gridSpan w:val="7"/>
            <w:shd w:val="clear" w:color="auto" w:fill="auto"/>
            <w:vAlign w:val="center"/>
          </w:tcPr>
          <w:p w:rsidR="0017785E" w:rsidRPr="00DD79F7" w:rsidRDefault="000F2FC5" w:rsidP="00DE579D">
            <w:pPr>
              <w:spacing w:before="120" w:after="120" w:line="240" w:lineRule="auto"/>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153</w:t>
            </w:r>
            <w:r w:rsidR="00F1149F">
              <w:rPr>
                <w:rFonts w:ascii="Times New Roman" w:eastAsia="Calibri" w:hAnsi="Times New Roman" w:cs="Times New Roman"/>
                <w:color w:val="000000"/>
                <w:spacing w:val="-2"/>
                <w:lang w:eastAsia="en-US"/>
              </w:rPr>
              <w:t> </w:t>
            </w:r>
            <w:r>
              <w:rPr>
                <w:rFonts w:ascii="Times New Roman" w:eastAsia="Calibri" w:hAnsi="Times New Roman" w:cs="Times New Roman"/>
                <w:color w:val="000000"/>
                <w:spacing w:val="-2"/>
                <w:lang w:eastAsia="en-US"/>
              </w:rPr>
              <w:t>000 osób</w:t>
            </w:r>
          </w:p>
        </w:tc>
        <w:tc>
          <w:tcPr>
            <w:tcW w:w="2996" w:type="dxa"/>
            <w:gridSpan w:val="11"/>
            <w:shd w:val="clear" w:color="auto" w:fill="auto"/>
            <w:vAlign w:val="center"/>
          </w:tcPr>
          <w:p w:rsidR="0017785E" w:rsidRPr="00385568" w:rsidRDefault="000F2FC5" w:rsidP="00DE579D">
            <w:pPr>
              <w:spacing w:before="120" w:after="120" w:line="240" w:lineRule="auto"/>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Estymacja na podstawie danych GUS za lata 2005-2013</w:t>
            </w:r>
          </w:p>
        </w:tc>
        <w:tc>
          <w:tcPr>
            <w:tcW w:w="2739" w:type="dxa"/>
            <w:gridSpan w:val="5"/>
            <w:shd w:val="clear" w:color="auto" w:fill="auto"/>
            <w:vAlign w:val="center"/>
          </w:tcPr>
          <w:p w:rsidR="0017785E" w:rsidRPr="00385568" w:rsidRDefault="00DE579D" w:rsidP="00F1149F">
            <w:pPr>
              <w:spacing w:before="120" w:after="120" w:line="240" w:lineRule="auto"/>
              <w:jc w:val="both"/>
              <w:rPr>
                <w:rFonts w:ascii="Times New Roman" w:eastAsia="Calibri" w:hAnsi="Times New Roman" w:cs="Times New Roman"/>
                <w:color w:val="000000"/>
                <w:spacing w:val="-2"/>
                <w:lang w:eastAsia="en-US"/>
              </w:rPr>
            </w:pPr>
            <w:r w:rsidRPr="00DE579D">
              <w:rPr>
                <w:rFonts w:ascii="Times New Roman" w:eastAsia="Calibri" w:hAnsi="Times New Roman" w:cs="Times New Roman"/>
                <w:color w:val="000000"/>
                <w:spacing w:val="-2"/>
                <w:lang w:eastAsia="en-US"/>
              </w:rPr>
              <w:t xml:space="preserve">Obowiązki związane </w:t>
            </w:r>
            <w:r>
              <w:rPr>
                <w:rFonts w:ascii="Times New Roman" w:eastAsia="Calibri" w:hAnsi="Times New Roman" w:cs="Times New Roman"/>
                <w:color w:val="000000"/>
                <w:spacing w:val="-2"/>
                <w:lang w:eastAsia="en-US"/>
              </w:rPr>
              <w:t xml:space="preserve">z </w:t>
            </w:r>
            <w:r w:rsidRPr="00DE579D">
              <w:rPr>
                <w:rFonts w:ascii="Times New Roman" w:eastAsia="Calibri" w:hAnsi="Times New Roman" w:cs="Times New Roman"/>
                <w:color w:val="000000"/>
                <w:spacing w:val="-2"/>
                <w:lang w:eastAsia="en-US"/>
              </w:rPr>
              <w:t>uzupełnianiem danych, zabezpieczenie możliwości lokalizacji przewozów</w:t>
            </w:r>
            <w:r w:rsidR="000B07D8">
              <w:rPr>
                <w:rFonts w:ascii="Times New Roman" w:eastAsia="Calibri" w:hAnsi="Times New Roman" w:cs="Times New Roman"/>
                <w:color w:val="000000"/>
                <w:spacing w:val="-2"/>
                <w:lang w:eastAsia="en-US"/>
              </w:rPr>
              <w:t>.</w:t>
            </w:r>
          </w:p>
        </w:tc>
      </w:tr>
      <w:tr w:rsidR="003201D9" w:rsidRPr="00385568" w:rsidTr="00030232">
        <w:trPr>
          <w:trHeight w:val="142"/>
        </w:trPr>
        <w:tc>
          <w:tcPr>
            <w:tcW w:w="2665" w:type="dxa"/>
            <w:gridSpan w:val="3"/>
            <w:vMerge w:val="restart"/>
            <w:shd w:val="clear" w:color="auto" w:fill="auto"/>
          </w:tcPr>
          <w:p w:rsidR="003201D9" w:rsidRDefault="003201D9" w:rsidP="00DE579D">
            <w:pPr>
              <w:spacing w:before="120" w:after="120" w:line="240" w:lineRule="auto"/>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Podmioty odbierające</w:t>
            </w:r>
          </w:p>
        </w:tc>
        <w:tc>
          <w:tcPr>
            <w:tcW w:w="2292" w:type="dxa"/>
            <w:gridSpan w:val="7"/>
            <w:shd w:val="clear" w:color="auto" w:fill="auto"/>
            <w:vAlign w:val="center"/>
          </w:tcPr>
          <w:p w:rsidR="003201D9" w:rsidRDefault="003201D9" w:rsidP="00DE579D">
            <w:pPr>
              <w:spacing w:before="120" w:after="120" w:line="240" w:lineRule="auto"/>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9000 stacji paliw</w:t>
            </w:r>
          </w:p>
        </w:tc>
        <w:tc>
          <w:tcPr>
            <w:tcW w:w="2996" w:type="dxa"/>
            <w:gridSpan w:val="11"/>
            <w:shd w:val="clear" w:color="auto" w:fill="auto"/>
            <w:vAlign w:val="center"/>
          </w:tcPr>
          <w:p w:rsidR="003201D9" w:rsidRDefault="003201D9" w:rsidP="00DE579D">
            <w:pPr>
              <w:spacing w:before="120" w:after="120" w:line="240" w:lineRule="auto"/>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Dane GUS za lata 2012-2013</w:t>
            </w:r>
          </w:p>
        </w:tc>
        <w:tc>
          <w:tcPr>
            <w:tcW w:w="2739" w:type="dxa"/>
            <w:gridSpan w:val="5"/>
            <w:vMerge w:val="restart"/>
            <w:shd w:val="clear" w:color="auto" w:fill="auto"/>
            <w:vAlign w:val="center"/>
          </w:tcPr>
          <w:p w:rsidR="003201D9" w:rsidRPr="00DE579D" w:rsidRDefault="003201D9" w:rsidP="004114F7">
            <w:pPr>
              <w:spacing w:before="120" w:after="120" w:line="240" w:lineRule="auto"/>
              <w:jc w:val="both"/>
              <w:rPr>
                <w:rFonts w:ascii="Times New Roman" w:eastAsia="Calibri" w:hAnsi="Times New Roman" w:cs="Times New Roman"/>
                <w:color w:val="000000"/>
                <w:spacing w:val="-2"/>
                <w:lang w:eastAsia="en-US"/>
              </w:rPr>
            </w:pPr>
            <w:r w:rsidRPr="003201D9">
              <w:rPr>
                <w:rFonts w:ascii="Times New Roman" w:eastAsia="Calibri" w:hAnsi="Times New Roman" w:cs="Times New Roman"/>
                <w:color w:val="000000"/>
                <w:spacing w:val="-2"/>
                <w:lang w:eastAsia="en-US"/>
              </w:rPr>
              <w:t xml:space="preserve">Obowiązki związane </w:t>
            </w:r>
            <w:r>
              <w:rPr>
                <w:rFonts w:ascii="Times New Roman" w:eastAsia="Calibri" w:hAnsi="Times New Roman" w:cs="Times New Roman"/>
                <w:color w:val="000000"/>
                <w:spacing w:val="-2"/>
                <w:lang w:eastAsia="en-US"/>
              </w:rPr>
              <w:t>z</w:t>
            </w:r>
            <w:r w:rsidRPr="003201D9">
              <w:rPr>
                <w:rFonts w:ascii="Times New Roman" w:eastAsia="Calibri" w:hAnsi="Times New Roman" w:cs="Times New Roman"/>
                <w:color w:val="000000"/>
                <w:spacing w:val="-2"/>
                <w:lang w:eastAsia="en-US"/>
              </w:rPr>
              <w:t xml:space="preserve">, </w:t>
            </w:r>
            <w:r>
              <w:rPr>
                <w:rFonts w:ascii="Times New Roman" w:eastAsia="Calibri" w:hAnsi="Times New Roman" w:cs="Times New Roman"/>
                <w:color w:val="000000"/>
                <w:spacing w:val="-2"/>
                <w:lang w:eastAsia="en-US"/>
              </w:rPr>
              <w:t>potwierdzeniem odbioru</w:t>
            </w:r>
            <w:r w:rsidRPr="003201D9">
              <w:rPr>
                <w:rFonts w:ascii="Times New Roman" w:eastAsia="Calibri" w:hAnsi="Times New Roman" w:cs="Times New Roman"/>
                <w:color w:val="000000"/>
                <w:spacing w:val="-2"/>
                <w:lang w:eastAsia="en-US"/>
              </w:rPr>
              <w:t xml:space="preserve">; </w:t>
            </w:r>
            <w:r w:rsidR="00A61170">
              <w:rPr>
                <w:rFonts w:ascii="Times New Roman" w:eastAsia="Calibri" w:hAnsi="Times New Roman" w:cs="Times New Roman"/>
                <w:color w:val="000000"/>
                <w:spacing w:val="-2"/>
                <w:lang w:eastAsia="en-US"/>
              </w:rPr>
              <w:t>zgłoszenia przewozu, uzyskanie</w:t>
            </w:r>
            <w:r w:rsidR="00A61170" w:rsidRPr="00A61170">
              <w:rPr>
                <w:rFonts w:ascii="Times New Roman" w:eastAsia="Calibri" w:hAnsi="Times New Roman" w:cs="Times New Roman"/>
                <w:color w:val="000000"/>
                <w:spacing w:val="-2"/>
                <w:lang w:eastAsia="en-US"/>
              </w:rPr>
              <w:t xml:space="preserve"> numer</w:t>
            </w:r>
            <w:r w:rsidR="00A61170">
              <w:rPr>
                <w:rFonts w:ascii="Times New Roman" w:eastAsia="Calibri" w:hAnsi="Times New Roman" w:cs="Times New Roman"/>
                <w:color w:val="000000"/>
                <w:spacing w:val="-2"/>
                <w:lang w:eastAsia="en-US"/>
              </w:rPr>
              <w:t>u</w:t>
            </w:r>
            <w:r w:rsidR="00A61170" w:rsidRPr="00A61170">
              <w:rPr>
                <w:rFonts w:ascii="Times New Roman" w:eastAsia="Calibri" w:hAnsi="Times New Roman" w:cs="Times New Roman"/>
                <w:color w:val="000000"/>
                <w:spacing w:val="-2"/>
                <w:lang w:eastAsia="en-US"/>
              </w:rPr>
              <w:t xml:space="preserve"> referencyjny</w:t>
            </w:r>
            <w:r w:rsidR="00A61170">
              <w:rPr>
                <w:rFonts w:ascii="Times New Roman" w:eastAsia="Calibri" w:hAnsi="Times New Roman" w:cs="Times New Roman"/>
                <w:color w:val="000000"/>
                <w:spacing w:val="-2"/>
                <w:lang w:eastAsia="en-US"/>
              </w:rPr>
              <w:t xml:space="preserve"> dla tego zgłoszenia i przekazanie tego</w:t>
            </w:r>
            <w:r w:rsidR="00A61170" w:rsidRPr="00A61170">
              <w:rPr>
                <w:rFonts w:ascii="Times New Roman" w:eastAsia="Calibri" w:hAnsi="Times New Roman" w:cs="Times New Roman"/>
                <w:color w:val="000000"/>
                <w:spacing w:val="-2"/>
                <w:lang w:eastAsia="en-US"/>
              </w:rPr>
              <w:t xml:space="preserve"> numer</w:t>
            </w:r>
            <w:r w:rsidR="00A61170">
              <w:rPr>
                <w:rFonts w:ascii="Times New Roman" w:eastAsia="Calibri" w:hAnsi="Times New Roman" w:cs="Times New Roman"/>
                <w:color w:val="000000"/>
                <w:spacing w:val="-2"/>
                <w:lang w:eastAsia="en-US"/>
              </w:rPr>
              <w:t>u</w:t>
            </w:r>
            <w:r w:rsidR="00A61170" w:rsidRPr="00A61170">
              <w:rPr>
                <w:rFonts w:ascii="Times New Roman" w:eastAsia="Calibri" w:hAnsi="Times New Roman" w:cs="Times New Roman"/>
                <w:color w:val="000000"/>
                <w:spacing w:val="-2"/>
                <w:lang w:eastAsia="en-US"/>
              </w:rPr>
              <w:t xml:space="preserve"> </w:t>
            </w:r>
            <w:r w:rsidR="00A61170">
              <w:rPr>
                <w:rFonts w:ascii="Times New Roman" w:eastAsia="Calibri" w:hAnsi="Times New Roman" w:cs="Times New Roman"/>
                <w:color w:val="000000"/>
                <w:spacing w:val="-2"/>
                <w:lang w:eastAsia="en-US"/>
              </w:rPr>
              <w:t xml:space="preserve">kierującemu środkiem transportu w przypadku przewozu towaru spoza terytorium RP; </w:t>
            </w:r>
            <w:r w:rsidRPr="003201D9">
              <w:rPr>
                <w:rFonts w:ascii="Times New Roman" w:eastAsia="Calibri" w:hAnsi="Times New Roman" w:cs="Times New Roman"/>
                <w:color w:val="000000"/>
                <w:spacing w:val="-2"/>
                <w:lang w:eastAsia="en-US"/>
              </w:rPr>
              <w:t xml:space="preserve">poszerzenie istniejących procedur wewnętrznych </w:t>
            </w:r>
            <w:r w:rsidR="004114F7">
              <w:rPr>
                <w:rFonts w:ascii="Times New Roman" w:eastAsia="Calibri" w:hAnsi="Times New Roman" w:cs="Times New Roman"/>
                <w:color w:val="000000"/>
                <w:spacing w:val="-2"/>
                <w:lang w:eastAsia="en-US"/>
              </w:rPr>
              <w:t>przedsiębiorców</w:t>
            </w:r>
            <w:r w:rsidRPr="003201D9">
              <w:rPr>
                <w:rFonts w:ascii="Times New Roman" w:eastAsia="Calibri" w:hAnsi="Times New Roman" w:cs="Times New Roman"/>
                <w:color w:val="000000"/>
                <w:spacing w:val="-2"/>
                <w:lang w:eastAsia="en-US"/>
              </w:rPr>
              <w:t>: lokalizacja, systemowa obsługa dokumentacji przewozów.</w:t>
            </w:r>
          </w:p>
        </w:tc>
      </w:tr>
      <w:tr w:rsidR="003201D9" w:rsidRPr="00385568" w:rsidTr="00030232">
        <w:trPr>
          <w:trHeight w:val="142"/>
        </w:trPr>
        <w:tc>
          <w:tcPr>
            <w:tcW w:w="2665" w:type="dxa"/>
            <w:gridSpan w:val="3"/>
            <w:vMerge/>
            <w:shd w:val="clear" w:color="auto" w:fill="auto"/>
          </w:tcPr>
          <w:p w:rsidR="003201D9" w:rsidRDefault="003201D9" w:rsidP="00DE579D">
            <w:pPr>
              <w:spacing w:before="120" w:after="120" w:line="240" w:lineRule="auto"/>
              <w:rPr>
                <w:rFonts w:ascii="Times New Roman" w:eastAsia="Calibri" w:hAnsi="Times New Roman" w:cs="Times New Roman"/>
                <w:color w:val="000000"/>
                <w:spacing w:val="-2"/>
                <w:lang w:eastAsia="en-US"/>
              </w:rPr>
            </w:pPr>
          </w:p>
        </w:tc>
        <w:tc>
          <w:tcPr>
            <w:tcW w:w="2292" w:type="dxa"/>
            <w:gridSpan w:val="7"/>
            <w:shd w:val="clear" w:color="auto" w:fill="auto"/>
            <w:vAlign w:val="center"/>
          </w:tcPr>
          <w:p w:rsidR="003201D9" w:rsidRDefault="003201D9" w:rsidP="00096AA4">
            <w:pPr>
              <w:spacing w:before="120" w:after="120" w:line="240" w:lineRule="auto"/>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47 producentów wyrobów tytoniowych</w:t>
            </w:r>
          </w:p>
        </w:tc>
        <w:tc>
          <w:tcPr>
            <w:tcW w:w="2996" w:type="dxa"/>
            <w:gridSpan w:val="11"/>
            <w:vMerge w:val="restart"/>
            <w:shd w:val="clear" w:color="auto" w:fill="auto"/>
            <w:vAlign w:val="center"/>
          </w:tcPr>
          <w:p w:rsidR="003201D9" w:rsidRDefault="003201D9" w:rsidP="00F1149F">
            <w:pPr>
              <w:spacing w:before="120" w:after="120" w:line="240" w:lineRule="auto"/>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Rejestr Ministerstwa Rolnictwa i Rozwoju Wsi</w:t>
            </w:r>
          </w:p>
        </w:tc>
        <w:tc>
          <w:tcPr>
            <w:tcW w:w="2739" w:type="dxa"/>
            <w:gridSpan w:val="5"/>
            <w:vMerge/>
            <w:shd w:val="clear" w:color="auto" w:fill="auto"/>
            <w:vAlign w:val="center"/>
          </w:tcPr>
          <w:p w:rsidR="003201D9" w:rsidRPr="00DE579D" w:rsidRDefault="003201D9" w:rsidP="00DE579D">
            <w:pPr>
              <w:spacing w:before="120" w:after="120" w:line="240" w:lineRule="auto"/>
              <w:rPr>
                <w:rFonts w:ascii="Times New Roman" w:eastAsia="Calibri" w:hAnsi="Times New Roman" w:cs="Times New Roman"/>
                <w:color w:val="000000"/>
                <w:spacing w:val="-2"/>
                <w:lang w:eastAsia="en-US"/>
              </w:rPr>
            </w:pPr>
          </w:p>
        </w:tc>
      </w:tr>
      <w:tr w:rsidR="003201D9" w:rsidRPr="00385568" w:rsidTr="00030232">
        <w:trPr>
          <w:trHeight w:val="142"/>
        </w:trPr>
        <w:tc>
          <w:tcPr>
            <w:tcW w:w="2665" w:type="dxa"/>
            <w:gridSpan w:val="3"/>
            <w:vMerge/>
            <w:shd w:val="clear" w:color="auto" w:fill="auto"/>
          </w:tcPr>
          <w:p w:rsidR="003201D9" w:rsidRDefault="003201D9" w:rsidP="00096AA4">
            <w:pPr>
              <w:spacing w:before="120" w:after="120" w:line="240" w:lineRule="auto"/>
              <w:rPr>
                <w:rFonts w:ascii="Times New Roman" w:eastAsia="Calibri" w:hAnsi="Times New Roman" w:cs="Times New Roman"/>
                <w:color w:val="000000"/>
                <w:spacing w:val="-2"/>
                <w:lang w:eastAsia="en-US"/>
              </w:rPr>
            </w:pPr>
          </w:p>
        </w:tc>
        <w:tc>
          <w:tcPr>
            <w:tcW w:w="2292" w:type="dxa"/>
            <w:gridSpan w:val="7"/>
            <w:shd w:val="clear" w:color="auto" w:fill="auto"/>
            <w:vAlign w:val="center"/>
          </w:tcPr>
          <w:p w:rsidR="003201D9" w:rsidRDefault="003201D9" w:rsidP="00096AA4">
            <w:pPr>
              <w:spacing w:before="120" w:after="120" w:line="240" w:lineRule="auto"/>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556 podmiotów prowadzących działalność w zakresie wytwarzania i przerobu alkoholu etylowego, w tym 38 skażających alkohol</w:t>
            </w:r>
          </w:p>
        </w:tc>
        <w:tc>
          <w:tcPr>
            <w:tcW w:w="2996" w:type="dxa"/>
            <w:gridSpan w:val="11"/>
            <w:vMerge/>
            <w:shd w:val="clear" w:color="auto" w:fill="auto"/>
            <w:vAlign w:val="center"/>
          </w:tcPr>
          <w:p w:rsidR="003201D9" w:rsidRDefault="003201D9" w:rsidP="00096AA4">
            <w:pPr>
              <w:spacing w:before="120" w:after="120" w:line="240" w:lineRule="auto"/>
              <w:rPr>
                <w:rFonts w:ascii="Times New Roman" w:eastAsia="Calibri" w:hAnsi="Times New Roman" w:cs="Times New Roman"/>
                <w:color w:val="000000"/>
                <w:spacing w:val="-2"/>
                <w:lang w:eastAsia="en-US"/>
              </w:rPr>
            </w:pPr>
          </w:p>
        </w:tc>
        <w:tc>
          <w:tcPr>
            <w:tcW w:w="2739" w:type="dxa"/>
            <w:gridSpan w:val="5"/>
            <w:vMerge/>
            <w:shd w:val="clear" w:color="auto" w:fill="auto"/>
            <w:vAlign w:val="center"/>
          </w:tcPr>
          <w:p w:rsidR="003201D9" w:rsidRPr="00DE579D" w:rsidRDefault="003201D9" w:rsidP="00096AA4">
            <w:pPr>
              <w:spacing w:before="120" w:after="120" w:line="240" w:lineRule="auto"/>
              <w:rPr>
                <w:rFonts w:ascii="Times New Roman" w:eastAsia="Calibri" w:hAnsi="Times New Roman" w:cs="Times New Roman"/>
                <w:color w:val="000000"/>
                <w:spacing w:val="-2"/>
                <w:lang w:eastAsia="en-US"/>
              </w:rPr>
            </w:pPr>
          </w:p>
        </w:tc>
      </w:tr>
      <w:tr w:rsidR="00096AA4" w:rsidRPr="00385568" w:rsidTr="00030232">
        <w:trPr>
          <w:trHeight w:val="142"/>
        </w:trPr>
        <w:tc>
          <w:tcPr>
            <w:tcW w:w="2665" w:type="dxa"/>
            <w:gridSpan w:val="3"/>
            <w:shd w:val="clear" w:color="auto" w:fill="auto"/>
          </w:tcPr>
          <w:p w:rsidR="00096AA4" w:rsidRPr="00DD79F7" w:rsidRDefault="00096AA4" w:rsidP="00096AA4">
            <w:pPr>
              <w:spacing w:before="120" w:after="120" w:line="240" w:lineRule="auto"/>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Dostawcy/producenci lokalizatorów</w:t>
            </w:r>
          </w:p>
        </w:tc>
        <w:tc>
          <w:tcPr>
            <w:tcW w:w="2292" w:type="dxa"/>
            <w:gridSpan w:val="7"/>
            <w:shd w:val="clear" w:color="auto" w:fill="auto"/>
            <w:vAlign w:val="center"/>
          </w:tcPr>
          <w:p w:rsidR="00096AA4" w:rsidRPr="00DD79F7" w:rsidRDefault="00732AE2" w:rsidP="00096AA4">
            <w:pPr>
              <w:spacing w:before="120" w:after="120" w:line="240" w:lineRule="auto"/>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1</w:t>
            </w:r>
          </w:p>
        </w:tc>
        <w:tc>
          <w:tcPr>
            <w:tcW w:w="2996" w:type="dxa"/>
            <w:gridSpan w:val="11"/>
            <w:shd w:val="clear" w:color="auto" w:fill="auto"/>
            <w:vAlign w:val="center"/>
          </w:tcPr>
          <w:p w:rsidR="00096AA4" w:rsidRPr="00385568" w:rsidRDefault="00732AE2" w:rsidP="004114F7">
            <w:pPr>
              <w:spacing w:before="120" w:after="120" w:line="240" w:lineRule="auto"/>
              <w:jc w:val="both"/>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Szacunki na podstawie zamówienia publicznego na realizację zadania</w:t>
            </w:r>
          </w:p>
        </w:tc>
        <w:tc>
          <w:tcPr>
            <w:tcW w:w="2739" w:type="dxa"/>
            <w:gridSpan w:val="5"/>
            <w:shd w:val="clear" w:color="auto" w:fill="auto"/>
            <w:vAlign w:val="center"/>
          </w:tcPr>
          <w:p w:rsidR="00096AA4" w:rsidRPr="00385568" w:rsidRDefault="00732AE2" w:rsidP="00900D6F">
            <w:pPr>
              <w:spacing w:before="120" w:after="120" w:line="240" w:lineRule="auto"/>
              <w:jc w:val="both"/>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t xml:space="preserve">Rozwojowe dla wyłonionego operatora i </w:t>
            </w:r>
            <w:r w:rsidR="004C008B">
              <w:rPr>
                <w:rFonts w:ascii="Times New Roman" w:eastAsia="Calibri" w:hAnsi="Times New Roman" w:cs="Times New Roman"/>
                <w:color w:val="000000"/>
                <w:spacing w:val="-2"/>
                <w:lang w:eastAsia="en-US"/>
              </w:rPr>
              <w:t>podmiotów</w:t>
            </w:r>
            <w:r>
              <w:rPr>
                <w:rFonts w:ascii="Times New Roman" w:eastAsia="Calibri" w:hAnsi="Times New Roman" w:cs="Times New Roman"/>
                <w:color w:val="000000"/>
                <w:spacing w:val="-2"/>
                <w:lang w:eastAsia="en-US"/>
              </w:rPr>
              <w:t xml:space="preserve"> współpracujących (ew. akredytacja, serwis, utylizacja)</w:t>
            </w:r>
            <w:r w:rsidR="00A61170">
              <w:rPr>
                <w:rFonts w:ascii="Times New Roman" w:eastAsia="Calibri" w:hAnsi="Times New Roman" w:cs="Times New Roman"/>
                <w:color w:val="000000"/>
                <w:spacing w:val="-2"/>
                <w:lang w:eastAsia="en-US"/>
              </w:rPr>
              <w:t xml:space="preserve">; sprzedaż </w:t>
            </w:r>
            <w:r w:rsidR="00900D6F">
              <w:rPr>
                <w:rFonts w:ascii="Times New Roman" w:eastAsia="Calibri" w:hAnsi="Times New Roman" w:cs="Times New Roman"/>
                <w:color w:val="000000"/>
                <w:spacing w:val="-2"/>
                <w:lang w:eastAsia="en-US"/>
              </w:rPr>
              <w:t>35</w:t>
            </w:r>
            <w:r w:rsidR="004C008B" w:rsidRPr="003D33D5">
              <w:rPr>
                <w:rFonts w:ascii="Times New Roman" w:eastAsia="Calibri" w:hAnsi="Times New Roman" w:cs="Times New Roman"/>
                <w:color w:val="000000"/>
                <w:spacing w:val="-2"/>
                <w:lang w:eastAsia="en-US"/>
              </w:rPr>
              <w:t> </w:t>
            </w:r>
            <w:r w:rsidR="00900D6F">
              <w:rPr>
                <w:rFonts w:ascii="Times New Roman" w:eastAsia="Calibri" w:hAnsi="Times New Roman" w:cs="Times New Roman"/>
                <w:color w:val="000000"/>
                <w:spacing w:val="-2"/>
                <w:lang w:eastAsia="en-US"/>
              </w:rPr>
              <w:t>0</w:t>
            </w:r>
            <w:r w:rsidR="00D30E85" w:rsidRPr="003D33D5">
              <w:rPr>
                <w:rFonts w:ascii="Times New Roman" w:eastAsia="Calibri" w:hAnsi="Times New Roman" w:cs="Times New Roman"/>
                <w:color w:val="000000"/>
                <w:spacing w:val="-2"/>
                <w:lang w:eastAsia="en-US"/>
              </w:rPr>
              <w:t>0</w:t>
            </w:r>
            <w:r w:rsidR="00A61170" w:rsidRPr="003D33D5">
              <w:rPr>
                <w:rFonts w:ascii="Times New Roman" w:eastAsia="Calibri" w:hAnsi="Times New Roman" w:cs="Times New Roman"/>
                <w:color w:val="000000"/>
                <w:spacing w:val="-2"/>
                <w:lang w:eastAsia="en-US"/>
              </w:rPr>
              <w:t>0</w:t>
            </w:r>
            <w:r w:rsidR="00A61170" w:rsidRPr="00A61170">
              <w:rPr>
                <w:rFonts w:ascii="Times New Roman" w:eastAsia="Calibri" w:hAnsi="Times New Roman" w:cs="Times New Roman"/>
                <w:color w:val="000000"/>
                <w:spacing w:val="-2"/>
                <w:lang w:eastAsia="en-US"/>
              </w:rPr>
              <w:t xml:space="preserve"> tys. zł</w:t>
            </w:r>
            <w:r w:rsidR="00A61170">
              <w:rPr>
                <w:rFonts w:ascii="Times New Roman" w:eastAsia="Calibri" w:hAnsi="Times New Roman" w:cs="Times New Roman"/>
                <w:color w:val="000000"/>
                <w:spacing w:val="-2"/>
                <w:lang w:eastAsia="en-US"/>
              </w:rPr>
              <w:t>, sprzedaż</w:t>
            </w:r>
            <w:r w:rsidR="00A61170" w:rsidRPr="00A61170">
              <w:rPr>
                <w:rFonts w:ascii="Times New Roman" w:eastAsia="Calibri" w:hAnsi="Times New Roman" w:cs="Times New Roman"/>
                <w:color w:val="000000"/>
                <w:spacing w:val="-2"/>
                <w:lang w:eastAsia="en-US"/>
              </w:rPr>
              <w:t xml:space="preserve"> </w:t>
            </w:r>
            <w:r w:rsidR="00A61170">
              <w:rPr>
                <w:rFonts w:ascii="Times New Roman" w:eastAsia="Calibri" w:hAnsi="Times New Roman" w:cs="Times New Roman"/>
                <w:color w:val="000000"/>
                <w:spacing w:val="-2"/>
                <w:lang w:eastAsia="en-US"/>
              </w:rPr>
              <w:t>i</w:t>
            </w:r>
            <w:r w:rsidR="00A61170" w:rsidRPr="00A61170">
              <w:rPr>
                <w:rFonts w:ascii="Times New Roman" w:eastAsia="Calibri" w:hAnsi="Times New Roman" w:cs="Times New Roman"/>
                <w:color w:val="000000"/>
                <w:spacing w:val="-2"/>
                <w:lang w:eastAsia="en-US"/>
              </w:rPr>
              <w:t>nfrastruktury sprzętowej i</w:t>
            </w:r>
            <w:r w:rsidR="00900D6F">
              <w:rPr>
                <w:rFonts w:ascii="Times New Roman" w:eastAsia="Calibri" w:hAnsi="Times New Roman" w:cs="Times New Roman"/>
                <w:color w:val="000000"/>
                <w:spacing w:val="-2"/>
                <w:lang w:eastAsia="en-US"/>
              </w:rPr>
              <w:t> </w:t>
            </w:r>
            <w:r w:rsidR="00A61170" w:rsidRPr="00A61170">
              <w:rPr>
                <w:rFonts w:ascii="Times New Roman" w:eastAsia="Calibri" w:hAnsi="Times New Roman" w:cs="Times New Roman"/>
                <w:color w:val="000000"/>
                <w:spacing w:val="-2"/>
                <w:lang w:eastAsia="en-US"/>
              </w:rPr>
              <w:t>licencji, oprogramowania.</w:t>
            </w:r>
          </w:p>
        </w:tc>
      </w:tr>
      <w:tr w:rsidR="00096AA4" w:rsidRPr="00385568" w:rsidTr="00030232">
        <w:trPr>
          <w:trHeight w:val="302"/>
        </w:trPr>
        <w:tc>
          <w:tcPr>
            <w:tcW w:w="10692" w:type="dxa"/>
            <w:gridSpan w:val="26"/>
            <w:shd w:val="clear" w:color="auto" w:fill="99CCFF"/>
            <w:vAlign w:val="center"/>
          </w:tcPr>
          <w:p w:rsidR="00096AA4" w:rsidRPr="00DD79F7" w:rsidRDefault="00096AA4" w:rsidP="00096AA4">
            <w:pPr>
              <w:numPr>
                <w:ilvl w:val="0"/>
                <w:numId w:val="9"/>
              </w:numPr>
              <w:spacing w:before="60" w:after="60" w:line="240" w:lineRule="auto"/>
              <w:ind w:left="318" w:hanging="284"/>
              <w:jc w:val="both"/>
              <w:rPr>
                <w:rFonts w:ascii="Times New Roman" w:eastAsia="Calibri" w:hAnsi="Times New Roman" w:cs="Times New Roman"/>
                <w:b/>
                <w:color w:val="000000"/>
                <w:lang w:eastAsia="en-US"/>
              </w:rPr>
            </w:pPr>
            <w:r w:rsidRPr="00DD79F7">
              <w:rPr>
                <w:rFonts w:ascii="Times New Roman" w:eastAsia="Calibri" w:hAnsi="Times New Roman" w:cs="Times New Roman"/>
                <w:b/>
                <w:color w:val="000000"/>
                <w:lang w:eastAsia="en-US"/>
              </w:rPr>
              <w:t>Informacje na temat zakresu, czasu trwania i podsumowanie wyników konsultacji</w:t>
            </w:r>
          </w:p>
        </w:tc>
      </w:tr>
      <w:tr w:rsidR="00096AA4" w:rsidRPr="00385568" w:rsidTr="00030232">
        <w:trPr>
          <w:trHeight w:val="342"/>
        </w:trPr>
        <w:tc>
          <w:tcPr>
            <w:tcW w:w="10692" w:type="dxa"/>
            <w:gridSpan w:val="26"/>
            <w:shd w:val="clear" w:color="auto" w:fill="FFFFFF"/>
          </w:tcPr>
          <w:p w:rsidR="00096AA4" w:rsidRPr="004233A6" w:rsidRDefault="00096AA4" w:rsidP="004C008B">
            <w:pPr>
              <w:spacing w:before="120" w:after="120" w:line="240" w:lineRule="auto"/>
              <w:jc w:val="both"/>
              <w:rPr>
                <w:rFonts w:ascii="Times New Roman" w:eastAsia="Calibri" w:hAnsi="Times New Roman" w:cs="Times New Roman"/>
                <w:color w:val="000000"/>
                <w:spacing w:val="-2"/>
                <w:lang w:eastAsia="en-US"/>
              </w:rPr>
            </w:pPr>
            <w:r w:rsidRPr="004233A6">
              <w:rPr>
                <w:rFonts w:ascii="Times New Roman" w:eastAsia="Calibri" w:hAnsi="Times New Roman" w:cs="Times New Roman"/>
                <w:color w:val="000000"/>
                <w:spacing w:val="-2"/>
                <w:lang w:eastAsia="en-US"/>
              </w:rPr>
              <w:t>Stosownie do postanowień § 52 ust. 1 uchwały Nr 190 Rady Ministrów z dnia 29 października 2013 r. – Regulamin pracy Rady Ministrów (M.</w:t>
            </w:r>
            <w:r w:rsidR="004C008B">
              <w:rPr>
                <w:rFonts w:ascii="Times New Roman" w:eastAsia="Calibri" w:hAnsi="Times New Roman" w:cs="Times New Roman"/>
                <w:color w:val="000000"/>
                <w:spacing w:val="-2"/>
                <w:lang w:eastAsia="en-US"/>
              </w:rPr>
              <w:t>P</w:t>
            </w:r>
            <w:r w:rsidRPr="004233A6">
              <w:rPr>
                <w:rFonts w:ascii="Times New Roman" w:eastAsia="Calibri" w:hAnsi="Times New Roman" w:cs="Times New Roman"/>
                <w:color w:val="000000"/>
                <w:spacing w:val="-2"/>
                <w:lang w:eastAsia="en-US"/>
              </w:rPr>
              <w:t xml:space="preserve">. </w:t>
            </w:r>
            <w:r w:rsidR="004C008B">
              <w:rPr>
                <w:rFonts w:ascii="Times New Roman" w:eastAsia="Calibri" w:hAnsi="Times New Roman" w:cs="Times New Roman"/>
                <w:color w:val="000000"/>
                <w:spacing w:val="-2"/>
                <w:lang w:eastAsia="en-US"/>
              </w:rPr>
              <w:t>p</w:t>
            </w:r>
            <w:r w:rsidRPr="004233A6">
              <w:rPr>
                <w:rFonts w:ascii="Times New Roman" w:eastAsia="Calibri" w:hAnsi="Times New Roman" w:cs="Times New Roman"/>
                <w:color w:val="000000"/>
                <w:spacing w:val="-2"/>
                <w:lang w:eastAsia="en-US"/>
              </w:rPr>
              <w:t>oz. 979</w:t>
            </w:r>
            <w:r w:rsidR="004C008B">
              <w:rPr>
                <w:rFonts w:ascii="Times New Roman" w:eastAsia="Calibri" w:hAnsi="Times New Roman" w:cs="Times New Roman"/>
                <w:color w:val="000000"/>
                <w:spacing w:val="-2"/>
                <w:lang w:eastAsia="en-US"/>
              </w:rPr>
              <w:t>, z późn. zm.</w:t>
            </w:r>
            <w:r w:rsidRPr="004233A6">
              <w:rPr>
                <w:rFonts w:ascii="Times New Roman" w:eastAsia="Calibri" w:hAnsi="Times New Roman" w:cs="Times New Roman"/>
                <w:color w:val="000000"/>
                <w:spacing w:val="-2"/>
                <w:lang w:eastAsia="en-US"/>
              </w:rPr>
              <w:t xml:space="preserve">) oraz art. 5 ustawy z dnia 7 lipca 2005 r. o działalności lobbingowej w procesie </w:t>
            </w:r>
            <w:r w:rsidRPr="004233A6">
              <w:rPr>
                <w:rFonts w:ascii="Times New Roman" w:eastAsia="Calibri" w:hAnsi="Times New Roman" w:cs="Times New Roman"/>
                <w:color w:val="000000"/>
                <w:spacing w:val="-2"/>
                <w:lang w:eastAsia="en-US"/>
              </w:rPr>
              <w:lastRenderedPageBreak/>
              <w:t>stanowienia prawa (Dz. U. Nr 169, poz. 14</w:t>
            </w:r>
            <w:r w:rsidR="00951846">
              <w:rPr>
                <w:rFonts w:ascii="Times New Roman" w:eastAsia="Calibri" w:hAnsi="Times New Roman" w:cs="Times New Roman"/>
                <w:color w:val="000000"/>
                <w:spacing w:val="-2"/>
                <w:lang w:eastAsia="en-US"/>
              </w:rPr>
              <w:t>14, z późn. zm.), projekt rozporządzenia</w:t>
            </w:r>
            <w:r w:rsidRPr="004233A6">
              <w:rPr>
                <w:rFonts w:ascii="Times New Roman" w:eastAsia="Calibri" w:hAnsi="Times New Roman" w:cs="Times New Roman"/>
                <w:color w:val="000000"/>
                <w:spacing w:val="-2"/>
                <w:lang w:eastAsia="en-US"/>
              </w:rPr>
              <w:t xml:space="preserve"> zostanie udostępniony w</w:t>
            </w:r>
            <w:r w:rsidR="004C008B">
              <w:rPr>
                <w:rFonts w:ascii="Times New Roman" w:eastAsia="Calibri" w:hAnsi="Times New Roman" w:cs="Times New Roman"/>
                <w:color w:val="000000"/>
                <w:spacing w:val="-2"/>
                <w:lang w:eastAsia="en-US"/>
              </w:rPr>
              <w:t> </w:t>
            </w:r>
            <w:r w:rsidRPr="004233A6">
              <w:rPr>
                <w:rFonts w:ascii="Times New Roman" w:eastAsia="Calibri" w:hAnsi="Times New Roman" w:cs="Times New Roman"/>
                <w:color w:val="000000"/>
                <w:spacing w:val="-2"/>
                <w:lang w:eastAsia="en-US"/>
              </w:rPr>
              <w:t xml:space="preserve">Biuletynie Informacji Publicznej na stronie Rządowego Centrum Legislacji (www.rcl.gov.pl) z chwilą przekazania go do uzgodnień z członkami Rady Ministrów. </w:t>
            </w:r>
          </w:p>
        </w:tc>
      </w:tr>
      <w:tr w:rsidR="00096AA4" w:rsidRPr="00385568" w:rsidTr="00030232">
        <w:trPr>
          <w:trHeight w:val="363"/>
        </w:trPr>
        <w:tc>
          <w:tcPr>
            <w:tcW w:w="10692" w:type="dxa"/>
            <w:gridSpan w:val="26"/>
            <w:shd w:val="clear" w:color="auto" w:fill="99CCFF"/>
            <w:vAlign w:val="center"/>
          </w:tcPr>
          <w:p w:rsidR="00096AA4" w:rsidRPr="00DD79F7" w:rsidRDefault="00096AA4" w:rsidP="00096AA4">
            <w:pPr>
              <w:numPr>
                <w:ilvl w:val="0"/>
                <w:numId w:val="9"/>
              </w:numPr>
              <w:spacing w:before="60" w:after="60" w:line="240" w:lineRule="auto"/>
              <w:ind w:left="318" w:hanging="284"/>
              <w:jc w:val="both"/>
              <w:rPr>
                <w:rFonts w:ascii="Times New Roman" w:eastAsia="Calibri" w:hAnsi="Times New Roman" w:cs="Times New Roman"/>
                <w:b/>
                <w:color w:val="000000"/>
                <w:lang w:eastAsia="en-US"/>
              </w:rPr>
            </w:pPr>
            <w:r w:rsidRPr="00DD79F7">
              <w:rPr>
                <w:rFonts w:ascii="Times New Roman" w:eastAsia="Calibri" w:hAnsi="Times New Roman" w:cs="Times New Roman"/>
                <w:b/>
                <w:color w:val="000000"/>
                <w:lang w:eastAsia="en-US"/>
              </w:rPr>
              <w:lastRenderedPageBreak/>
              <w:t xml:space="preserve"> Wpływ na sektor finansów publicznych</w:t>
            </w:r>
          </w:p>
        </w:tc>
      </w:tr>
      <w:tr w:rsidR="00096AA4" w:rsidRPr="00385568" w:rsidTr="00030232">
        <w:trPr>
          <w:trHeight w:val="142"/>
        </w:trPr>
        <w:tc>
          <w:tcPr>
            <w:tcW w:w="1977" w:type="dxa"/>
            <w:gridSpan w:val="2"/>
            <w:vMerge w:val="restart"/>
            <w:shd w:val="clear" w:color="auto" w:fill="FFFFFF"/>
          </w:tcPr>
          <w:p w:rsidR="00096AA4" w:rsidRPr="00DD79F7" w:rsidRDefault="00096AA4" w:rsidP="00096AA4">
            <w:pPr>
              <w:spacing w:before="40" w:after="40"/>
              <w:rPr>
                <w:rFonts w:ascii="Times New Roman" w:eastAsia="Calibri" w:hAnsi="Times New Roman" w:cs="Times New Roman"/>
                <w:i/>
                <w:color w:val="000000"/>
                <w:lang w:eastAsia="en-US"/>
              </w:rPr>
            </w:pPr>
            <w:r w:rsidRPr="00DD79F7">
              <w:rPr>
                <w:rFonts w:ascii="Times New Roman" w:eastAsia="Calibri" w:hAnsi="Times New Roman" w:cs="Times New Roman"/>
                <w:color w:val="000000"/>
                <w:lang w:eastAsia="en-US"/>
              </w:rPr>
              <w:t>(ceny stałe z …… r.)</w:t>
            </w:r>
          </w:p>
        </w:tc>
        <w:tc>
          <w:tcPr>
            <w:tcW w:w="8715" w:type="dxa"/>
            <w:gridSpan w:val="24"/>
            <w:shd w:val="clear" w:color="auto" w:fill="FFFFFF"/>
          </w:tcPr>
          <w:p w:rsidR="00096AA4" w:rsidRPr="00DD79F7" w:rsidRDefault="00096AA4" w:rsidP="00096AA4">
            <w:pPr>
              <w:spacing w:before="40" w:after="40" w:line="240" w:lineRule="auto"/>
              <w:jc w:val="center"/>
              <w:rPr>
                <w:rFonts w:ascii="Times New Roman" w:eastAsia="Calibri" w:hAnsi="Times New Roman" w:cs="Times New Roman"/>
                <w:i/>
                <w:color w:val="000000"/>
                <w:spacing w:val="-2"/>
                <w:lang w:eastAsia="en-US"/>
              </w:rPr>
            </w:pPr>
            <w:r w:rsidRPr="00DD79F7">
              <w:rPr>
                <w:rFonts w:ascii="Times New Roman" w:eastAsia="Calibri" w:hAnsi="Times New Roman" w:cs="Times New Roman"/>
                <w:color w:val="000000"/>
                <w:lang w:eastAsia="en-US"/>
              </w:rPr>
              <w:t>Skutki w okresie 10 lat od wejścia w życie zmian [mln zł]</w:t>
            </w:r>
          </w:p>
        </w:tc>
      </w:tr>
      <w:tr w:rsidR="00030232" w:rsidRPr="00385568" w:rsidTr="00030232">
        <w:trPr>
          <w:trHeight w:val="142"/>
        </w:trPr>
        <w:tc>
          <w:tcPr>
            <w:tcW w:w="1977" w:type="dxa"/>
            <w:gridSpan w:val="2"/>
            <w:vMerge/>
            <w:shd w:val="clear" w:color="auto" w:fill="FFFFFF"/>
          </w:tcPr>
          <w:p w:rsidR="00030232" w:rsidRPr="00DD79F7" w:rsidRDefault="00030232" w:rsidP="00096AA4">
            <w:pPr>
              <w:spacing w:before="40" w:after="40" w:line="240" w:lineRule="auto"/>
              <w:rPr>
                <w:rFonts w:ascii="Times New Roman" w:eastAsia="Calibri" w:hAnsi="Times New Roman" w:cs="Times New Roman"/>
                <w:i/>
                <w:color w:val="000000"/>
                <w:lang w:eastAsia="en-US"/>
              </w:rPr>
            </w:pPr>
          </w:p>
        </w:tc>
        <w:tc>
          <w:tcPr>
            <w:tcW w:w="709" w:type="dxa"/>
            <w:gridSpan w:val="2"/>
            <w:shd w:val="clear" w:color="auto" w:fill="FFFFFF"/>
          </w:tcPr>
          <w:p w:rsidR="00030232" w:rsidRPr="00385568" w:rsidRDefault="00030232" w:rsidP="00096AA4">
            <w:pPr>
              <w:spacing w:after="0" w:line="240" w:lineRule="auto"/>
              <w:jc w:val="center"/>
              <w:rPr>
                <w:rFonts w:ascii="Times New Roman" w:eastAsia="Calibri" w:hAnsi="Times New Roman" w:cs="Times New Roman"/>
                <w:color w:val="000000"/>
                <w:sz w:val="21"/>
                <w:szCs w:val="21"/>
                <w:lang w:eastAsia="en-US"/>
              </w:rPr>
            </w:pPr>
            <w:r>
              <w:rPr>
                <w:rFonts w:ascii="Times New Roman" w:eastAsia="Calibri" w:hAnsi="Times New Roman" w:cs="Times New Roman"/>
                <w:color w:val="000000"/>
                <w:sz w:val="21"/>
                <w:szCs w:val="21"/>
                <w:lang w:eastAsia="en-US"/>
              </w:rPr>
              <w:t>0</w:t>
            </w:r>
          </w:p>
        </w:tc>
        <w:tc>
          <w:tcPr>
            <w:tcW w:w="567" w:type="dxa"/>
            <w:shd w:val="clear" w:color="auto" w:fill="FFFFFF"/>
          </w:tcPr>
          <w:p w:rsidR="00030232" w:rsidRPr="00385568" w:rsidRDefault="00030232" w:rsidP="00096AA4">
            <w:pPr>
              <w:spacing w:after="0" w:line="240" w:lineRule="auto"/>
              <w:jc w:val="center"/>
              <w:rPr>
                <w:rFonts w:ascii="Times New Roman" w:eastAsia="Calibri" w:hAnsi="Times New Roman" w:cs="Times New Roman"/>
                <w:color w:val="000000"/>
                <w:sz w:val="21"/>
                <w:szCs w:val="21"/>
                <w:lang w:eastAsia="en-US"/>
              </w:rPr>
            </w:pPr>
            <w:r>
              <w:rPr>
                <w:rFonts w:ascii="Times New Roman" w:eastAsia="Calibri" w:hAnsi="Times New Roman" w:cs="Times New Roman"/>
                <w:color w:val="000000"/>
                <w:sz w:val="21"/>
                <w:szCs w:val="21"/>
                <w:lang w:eastAsia="en-US"/>
              </w:rPr>
              <w:t>1</w:t>
            </w:r>
          </w:p>
        </w:tc>
        <w:tc>
          <w:tcPr>
            <w:tcW w:w="709" w:type="dxa"/>
            <w:gridSpan w:val="3"/>
            <w:shd w:val="clear" w:color="auto" w:fill="FFFFFF"/>
          </w:tcPr>
          <w:p w:rsidR="00030232" w:rsidRPr="00385568" w:rsidRDefault="00030232" w:rsidP="00096AA4">
            <w:pPr>
              <w:spacing w:after="0" w:line="240" w:lineRule="auto"/>
              <w:jc w:val="center"/>
              <w:rPr>
                <w:rFonts w:ascii="Times New Roman" w:eastAsia="Calibri" w:hAnsi="Times New Roman" w:cs="Times New Roman"/>
                <w:color w:val="000000"/>
                <w:sz w:val="21"/>
                <w:szCs w:val="21"/>
                <w:lang w:eastAsia="en-US"/>
              </w:rPr>
            </w:pPr>
            <w:r>
              <w:rPr>
                <w:rFonts w:ascii="Times New Roman" w:eastAsia="Calibri" w:hAnsi="Times New Roman" w:cs="Times New Roman"/>
                <w:color w:val="000000"/>
                <w:sz w:val="21"/>
                <w:szCs w:val="21"/>
                <w:lang w:eastAsia="en-US"/>
              </w:rPr>
              <w:t>2</w:t>
            </w:r>
          </w:p>
        </w:tc>
        <w:tc>
          <w:tcPr>
            <w:tcW w:w="712" w:type="dxa"/>
            <w:shd w:val="clear" w:color="auto" w:fill="FFFFFF"/>
          </w:tcPr>
          <w:p w:rsidR="00030232" w:rsidRPr="00385568" w:rsidRDefault="00030232" w:rsidP="00096AA4">
            <w:pPr>
              <w:spacing w:after="0" w:line="240" w:lineRule="auto"/>
              <w:jc w:val="center"/>
              <w:rPr>
                <w:rFonts w:ascii="Times New Roman" w:eastAsia="Calibri" w:hAnsi="Times New Roman" w:cs="Times New Roman"/>
                <w:color w:val="000000"/>
                <w:sz w:val="21"/>
                <w:szCs w:val="21"/>
                <w:lang w:eastAsia="en-US"/>
              </w:rPr>
            </w:pPr>
            <w:r>
              <w:rPr>
                <w:rFonts w:ascii="Times New Roman" w:eastAsia="Calibri" w:hAnsi="Times New Roman" w:cs="Times New Roman"/>
                <w:color w:val="000000"/>
                <w:sz w:val="21"/>
                <w:szCs w:val="21"/>
                <w:lang w:eastAsia="en-US"/>
              </w:rPr>
              <w:t>3</w:t>
            </w:r>
          </w:p>
        </w:tc>
        <w:tc>
          <w:tcPr>
            <w:tcW w:w="708" w:type="dxa"/>
            <w:gridSpan w:val="3"/>
            <w:shd w:val="clear" w:color="auto" w:fill="FFFFFF"/>
          </w:tcPr>
          <w:p w:rsidR="00030232" w:rsidRPr="00385568" w:rsidRDefault="00030232" w:rsidP="00096AA4">
            <w:pPr>
              <w:spacing w:after="0" w:line="240" w:lineRule="auto"/>
              <w:jc w:val="center"/>
              <w:rPr>
                <w:rFonts w:ascii="Times New Roman" w:eastAsia="Calibri" w:hAnsi="Times New Roman" w:cs="Times New Roman"/>
                <w:color w:val="000000"/>
                <w:sz w:val="21"/>
                <w:szCs w:val="21"/>
                <w:lang w:eastAsia="en-US"/>
              </w:rPr>
            </w:pPr>
            <w:r>
              <w:rPr>
                <w:rFonts w:ascii="Times New Roman" w:eastAsia="Calibri" w:hAnsi="Times New Roman" w:cs="Times New Roman"/>
                <w:color w:val="000000"/>
                <w:sz w:val="21"/>
                <w:szCs w:val="21"/>
                <w:lang w:eastAsia="en-US"/>
              </w:rPr>
              <w:t>4</w:t>
            </w:r>
          </w:p>
        </w:tc>
        <w:tc>
          <w:tcPr>
            <w:tcW w:w="851" w:type="dxa"/>
            <w:gridSpan w:val="2"/>
            <w:shd w:val="clear" w:color="auto" w:fill="FFFFFF"/>
          </w:tcPr>
          <w:p w:rsidR="00030232" w:rsidRPr="00385568" w:rsidRDefault="00030232" w:rsidP="00096AA4">
            <w:pPr>
              <w:spacing w:after="0" w:line="240" w:lineRule="auto"/>
              <w:jc w:val="center"/>
              <w:rPr>
                <w:rFonts w:ascii="Times New Roman" w:eastAsia="Calibri" w:hAnsi="Times New Roman" w:cs="Times New Roman"/>
                <w:color w:val="000000"/>
                <w:sz w:val="21"/>
                <w:szCs w:val="21"/>
                <w:lang w:eastAsia="en-US"/>
              </w:rPr>
            </w:pPr>
            <w:r>
              <w:rPr>
                <w:rFonts w:ascii="Times New Roman" w:eastAsia="Calibri" w:hAnsi="Times New Roman" w:cs="Times New Roman"/>
                <w:color w:val="000000"/>
                <w:sz w:val="21"/>
                <w:szCs w:val="21"/>
                <w:lang w:eastAsia="en-US"/>
              </w:rPr>
              <w:t>5</w:t>
            </w:r>
          </w:p>
        </w:tc>
        <w:tc>
          <w:tcPr>
            <w:tcW w:w="709" w:type="dxa"/>
            <w:gridSpan w:val="3"/>
            <w:shd w:val="clear" w:color="auto" w:fill="FFFFFF"/>
          </w:tcPr>
          <w:p w:rsidR="00030232" w:rsidRPr="00385568" w:rsidRDefault="00030232" w:rsidP="00096AA4">
            <w:pPr>
              <w:spacing w:after="0" w:line="240" w:lineRule="auto"/>
              <w:jc w:val="center"/>
              <w:rPr>
                <w:rFonts w:ascii="Times New Roman" w:eastAsia="Calibri" w:hAnsi="Times New Roman" w:cs="Times New Roman"/>
                <w:color w:val="000000"/>
                <w:sz w:val="21"/>
                <w:szCs w:val="21"/>
                <w:lang w:eastAsia="en-US"/>
              </w:rPr>
            </w:pPr>
            <w:r>
              <w:rPr>
                <w:rFonts w:ascii="Times New Roman" w:eastAsia="Calibri" w:hAnsi="Times New Roman" w:cs="Times New Roman"/>
                <w:color w:val="000000"/>
                <w:sz w:val="21"/>
                <w:szCs w:val="21"/>
                <w:lang w:eastAsia="en-US"/>
              </w:rPr>
              <w:t>6</w:t>
            </w:r>
          </w:p>
        </w:tc>
        <w:tc>
          <w:tcPr>
            <w:tcW w:w="708" w:type="dxa"/>
            <w:gridSpan w:val="3"/>
            <w:shd w:val="clear" w:color="auto" w:fill="FFFFFF"/>
          </w:tcPr>
          <w:p w:rsidR="00030232" w:rsidRPr="00385568" w:rsidRDefault="00030232" w:rsidP="00096AA4">
            <w:pPr>
              <w:spacing w:after="0" w:line="240" w:lineRule="auto"/>
              <w:jc w:val="center"/>
              <w:rPr>
                <w:rFonts w:ascii="Times New Roman" w:eastAsia="Calibri" w:hAnsi="Times New Roman" w:cs="Times New Roman"/>
                <w:color w:val="000000"/>
                <w:sz w:val="21"/>
                <w:szCs w:val="21"/>
                <w:lang w:eastAsia="en-US"/>
              </w:rPr>
            </w:pPr>
            <w:r>
              <w:rPr>
                <w:rFonts w:ascii="Times New Roman" w:eastAsia="Calibri" w:hAnsi="Times New Roman" w:cs="Times New Roman"/>
                <w:color w:val="000000"/>
                <w:sz w:val="21"/>
                <w:szCs w:val="21"/>
                <w:lang w:eastAsia="en-US"/>
              </w:rPr>
              <w:t>7</w:t>
            </w:r>
          </w:p>
        </w:tc>
        <w:tc>
          <w:tcPr>
            <w:tcW w:w="851" w:type="dxa"/>
            <w:gridSpan w:val="2"/>
            <w:shd w:val="clear" w:color="auto" w:fill="FFFFFF"/>
          </w:tcPr>
          <w:p w:rsidR="00030232" w:rsidRPr="00385568" w:rsidRDefault="00030232" w:rsidP="00096AA4">
            <w:pPr>
              <w:spacing w:after="0" w:line="240" w:lineRule="auto"/>
              <w:jc w:val="center"/>
              <w:rPr>
                <w:rFonts w:ascii="Times New Roman" w:eastAsia="Calibri" w:hAnsi="Times New Roman" w:cs="Times New Roman"/>
                <w:color w:val="000000"/>
                <w:sz w:val="21"/>
                <w:szCs w:val="21"/>
                <w:lang w:eastAsia="en-US"/>
              </w:rPr>
            </w:pPr>
            <w:r>
              <w:rPr>
                <w:rFonts w:ascii="Times New Roman" w:eastAsia="Calibri" w:hAnsi="Times New Roman" w:cs="Times New Roman"/>
                <w:color w:val="000000"/>
                <w:sz w:val="21"/>
                <w:szCs w:val="21"/>
                <w:lang w:eastAsia="en-US"/>
              </w:rPr>
              <w:t>8</w:t>
            </w:r>
          </w:p>
        </w:tc>
        <w:tc>
          <w:tcPr>
            <w:tcW w:w="616" w:type="dxa"/>
            <w:gridSpan w:val="2"/>
            <w:shd w:val="clear" w:color="auto" w:fill="FFFFFF"/>
          </w:tcPr>
          <w:p w:rsidR="00030232" w:rsidRPr="00385568" w:rsidRDefault="00030232" w:rsidP="00096AA4">
            <w:pPr>
              <w:spacing w:after="0" w:line="240" w:lineRule="auto"/>
              <w:jc w:val="center"/>
              <w:rPr>
                <w:rFonts w:ascii="Times New Roman" w:eastAsia="Calibri" w:hAnsi="Times New Roman" w:cs="Times New Roman"/>
                <w:color w:val="000000"/>
                <w:sz w:val="21"/>
                <w:szCs w:val="21"/>
                <w:lang w:eastAsia="en-US"/>
              </w:rPr>
            </w:pPr>
            <w:r>
              <w:rPr>
                <w:rFonts w:ascii="Times New Roman" w:eastAsia="Calibri" w:hAnsi="Times New Roman" w:cs="Times New Roman"/>
                <w:color w:val="000000"/>
                <w:sz w:val="21"/>
                <w:szCs w:val="21"/>
                <w:lang w:eastAsia="en-US"/>
              </w:rPr>
              <w:t>9</w:t>
            </w:r>
          </w:p>
        </w:tc>
        <w:tc>
          <w:tcPr>
            <w:tcW w:w="1575" w:type="dxa"/>
            <w:gridSpan w:val="2"/>
            <w:shd w:val="clear" w:color="auto" w:fill="FFFFFF"/>
          </w:tcPr>
          <w:p w:rsidR="00030232" w:rsidRPr="00385568" w:rsidRDefault="003C2825" w:rsidP="00096AA4">
            <w:pPr>
              <w:spacing w:before="40" w:after="40" w:line="240" w:lineRule="auto"/>
              <w:jc w:val="center"/>
              <w:rPr>
                <w:rFonts w:ascii="Times New Roman" w:eastAsia="Calibri" w:hAnsi="Times New Roman" w:cs="Times New Roman"/>
                <w:i/>
                <w:color w:val="000000"/>
                <w:spacing w:val="-2"/>
                <w:sz w:val="21"/>
                <w:szCs w:val="21"/>
                <w:lang w:eastAsia="en-US"/>
              </w:rPr>
            </w:pPr>
            <w:r>
              <w:rPr>
                <w:rFonts w:ascii="Times New Roman" w:eastAsia="Calibri" w:hAnsi="Times New Roman" w:cs="Times New Roman"/>
                <w:i/>
                <w:color w:val="000000"/>
                <w:spacing w:val="-2"/>
                <w:sz w:val="21"/>
                <w:szCs w:val="21"/>
                <w:lang w:eastAsia="en-US"/>
              </w:rPr>
              <w:t>Łącznie (0-9</w:t>
            </w:r>
            <w:r w:rsidR="00030232" w:rsidRPr="00385568">
              <w:rPr>
                <w:rFonts w:ascii="Times New Roman" w:eastAsia="Calibri" w:hAnsi="Times New Roman" w:cs="Times New Roman"/>
                <w:i/>
                <w:color w:val="000000"/>
                <w:spacing w:val="-2"/>
                <w:sz w:val="21"/>
                <w:szCs w:val="21"/>
                <w:lang w:eastAsia="en-US"/>
              </w:rPr>
              <w:t>)</w:t>
            </w:r>
          </w:p>
        </w:tc>
      </w:tr>
      <w:tr w:rsidR="00030232" w:rsidRPr="00385568" w:rsidTr="00030232">
        <w:trPr>
          <w:trHeight w:val="321"/>
        </w:trPr>
        <w:tc>
          <w:tcPr>
            <w:tcW w:w="1977" w:type="dxa"/>
            <w:gridSpan w:val="2"/>
            <w:shd w:val="clear" w:color="auto" w:fill="FFFFFF"/>
            <w:vAlign w:val="center"/>
          </w:tcPr>
          <w:p w:rsidR="00030232" w:rsidRPr="00DD79F7" w:rsidRDefault="00030232" w:rsidP="00096AA4">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b/>
                <w:color w:val="000000"/>
                <w:lang w:eastAsia="en-US"/>
              </w:rPr>
              <w:t>Dochody ogółem</w:t>
            </w:r>
          </w:p>
        </w:tc>
        <w:tc>
          <w:tcPr>
            <w:tcW w:w="709" w:type="dxa"/>
            <w:gridSpan w:val="2"/>
            <w:shd w:val="clear" w:color="auto" w:fill="FFFFFF"/>
          </w:tcPr>
          <w:p w:rsidR="00030232" w:rsidRPr="00385568" w:rsidRDefault="00030232" w:rsidP="00096AA4">
            <w:pPr>
              <w:spacing w:after="0" w:line="240" w:lineRule="auto"/>
              <w:jc w:val="center"/>
              <w:rPr>
                <w:rFonts w:ascii="Times New Roman" w:eastAsia="Calibri" w:hAnsi="Times New Roman" w:cs="Times New Roman"/>
                <w:b/>
                <w:color w:val="000000"/>
                <w:sz w:val="16"/>
                <w:szCs w:val="16"/>
                <w:lang w:eastAsia="en-US"/>
              </w:rPr>
            </w:pPr>
            <w:r w:rsidRPr="00C9062C">
              <w:rPr>
                <w:rFonts w:ascii="Times New Roman" w:eastAsia="Calibri" w:hAnsi="Times New Roman" w:cs="Times New Roman"/>
                <w:b/>
                <w:color w:val="000000"/>
                <w:sz w:val="16"/>
                <w:szCs w:val="16"/>
                <w:lang w:eastAsia="en-US"/>
              </w:rPr>
              <w:t>154,4</w:t>
            </w:r>
          </w:p>
        </w:tc>
        <w:tc>
          <w:tcPr>
            <w:tcW w:w="567" w:type="dxa"/>
            <w:shd w:val="clear" w:color="auto" w:fill="FFFFFF"/>
          </w:tcPr>
          <w:p w:rsidR="00030232" w:rsidRPr="00385568" w:rsidRDefault="00030232" w:rsidP="00096AA4">
            <w:pPr>
              <w:spacing w:after="0" w:line="240" w:lineRule="auto"/>
              <w:jc w:val="center"/>
              <w:rPr>
                <w:rFonts w:ascii="Times New Roman" w:eastAsia="Calibri" w:hAnsi="Times New Roman" w:cs="Times New Roman"/>
                <w:b/>
                <w:color w:val="000000"/>
                <w:sz w:val="16"/>
                <w:szCs w:val="16"/>
                <w:lang w:eastAsia="en-US"/>
              </w:rPr>
            </w:pPr>
            <w:r w:rsidRPr="00C9062C">
              <w:rPr>
                <w:rFonts w:ascii="Times New Roman" w:eastAsia="Calibri" w:hAnsi="Times New Roman" w:cs="Times New Roman"/>
                <w:b/>
                <w:color w:val="000000"/>
                <w:sz w:val="16"/>
                <w:szCs w:val="16"/>
                <w:lang w:eastAsia="en-US"/>
              </w:rPr>
              <w:t>584,5</w:t>
            </w:r>
          </w:p>
        </w:tc>
        <w:tc>
          <w:tcPr>
            <w:tcW w:w="709" w:type="dxa"/>
            <w:gridSpan w:val="3"/>
            <w:shd w:val="clear" w:color="auto" w:fill="FFFFFF"/>
          </w:tcPr>
          <w:p w:rsidR="00030232" w:rsidRPr="00385568" w:rsidRDefault="00030232" w:rsidP="00096AA4">
            <w:pPr>
              <w:spacing w:after="0" w:line="240" w:lineRule="auto"/>
              <w:jc w:val="center"/>
              <w:rPr>
                <w:rFonts w:ascii="Times New Roman" w:eastAsia="Calibri" w:hAnsi="Times New Roman" w:cs="Times New Roman"/>
                <w:b/>
                <w:color w:val="000000"/>
                <w:sz w:val="16"/>
                <w:szCs w:val="16"/>
                <w:lang w:eastAsia="en-US"/>
              </w:rPr>
            </w:pPr>
            <w:r w:rsidRPr="00C9062C">
              <w:rPr>
                <w:rFonts w:ascii="Times New Roman" w:eastAsia="Calibri" w:hAnsi="Times New Roman" w:cs="Times New Roman"/>
                <w:b/>
                <w:color w:val="000000"/>
                <w:sz w:val="16"/>
                <w:szCs w:val="16"/>
                <w:lang w:eastAsia="en-US"/>
              </w:rPr>
              <w:t>1 025,3</w:t>
            </w:r>
          </w:p>
        </w:tc>
        <w:tc>
          <w:tcPr>
            <w:tcW w:w="712" w:type="dxa"/>
            <w:shd w:val="clear" w:color="auto" w:fill="FFFFFF"/>
          </w:tcPr>
          <w:p w:rsidR="00030232" w:rsidRPr="00385568" w:rsidRDefault="00030232" w:rsidP="00096AA4">
            <w:pPr>
              <w:spacing w:after="0" w:line="240" w:lineRule="auto"/>
              <w:jc w:val="center"/>
              <w:rPr>
                <w:rFonts w:ascii="Times New Roman" w:eastAsia="Calibri" w:hAnsi="Times New Roman" w:cs="Times New Roman"/>
                <w:b/>
                <w:color w:val="000000"/>
                <w:sz w:val="16"/>
                <w:szCs w:val="16"/>
                <w:lang w:eastAsia="en-US"/>
              </w:rPr>
            </w:pPr>
            <w:r w:rsidRPr="00C9062C">
              <w:rPr>
                <w:rFonts w:ascii="Times New Roman" w:eastAsia="Calibri" w:hAnsi="Times New Roman" w:cs="Times New Roman"/>
                <w:b/>
                <w:color w:val="000000"/>
                <w:sz w:val="16"/>
                <w:szCs w:val="16"/>
                <w:lang w:eastAsia="en-US"/>
              </w:rPr>
              <w:t>7 662,6</w:t>
            </w:r>
          </w:p>
        </w:tc>
        <w:tc>
          <w:tcPr>
            <w:tcW w:w="708" w:type="dxa"/>
            <w:gridSpan w:val="3"/>
            <w:shd w:val="clear" w:color="auto" w:fill="FFFFFF"/>
          </w:tcPr>
          <w:p w:rsidR="00030232" w:rsidRPr="00385568" w:rsidRDefault="00030232" w:rsidP="00096AA4">
            <w:pPr>
              <w:spacing w:after="0" w:line="240" w:lineRule="auto"/>
              <w:jc w:val="center"/>
              <w:rPr>
                <w:rFonts w:ascii="Times New Roman" w:eastAsia="Calibri" w:hAnsi="Times New Roman" w:cs="Times New Roman"/>
                <w:b/>
                <w:color w:val="000000"/>
                <w:sz w:val="16"/>
                <w:szCs w:val="16"/>
                <w:lang w:eastAsia="en-US"/>
              </w:rPr>
            </w:pPr>
            <w:r w:rsidRPr="00C9062C">
              <w:rPr>
                <w:rFonts w:ascii="Times New Roman" w:eastAsia="Calibri" w:hAnsi="Times New Roman" w:cs="Times New Roman"/>
                <w:b/>
                <w:color w:val="000000"/>
                <w:sz w:val="16"/>
                <w:szCs w:val="16"/>
                <w:lang w:eastAsia="en-US"/>
              </w:rPr>
              <w:t>14 995,6</w:t>
            </w:r>
          </w:p>
        </w:tc>
        <w:tc>
          <w:tcPr>
            <w:tcW w:w="851" w:type="dxa"/>
            <w:gridSpan w:val="2"/>
            <w:shd w:val="clear" w:color="auto" w:fill="FFFFFF"/>
          </w:tcPr>
          <w:p w:rsidR="00030232" w:rsidRPr="00385568" w:rsidRDefault="00030232" w:rsidP="00096AA4">
            <w:pPr>
              <w:spacing w:after="0" w:line="240" w:lineRule="auto"/>
              <w:jc w:val="center"/>
              <w:rPr>
                <w:rFonts w:ascii="Times New Roman" w:eastAsia="Calibri" w:hAnsi="Times New Roman" w:cs="Times New Roman"/>
                <w:b/>
                <w:color w:val="000000"/>
                <w:sz w:val="16"/>
                <w:szCs w:val="16"/>
                <w:lang w:eastAsia="en-US"/>
              </w:rPr>
            </w:pPr>
            <w:r w:rsidRPr="00C9062C">
              <w:rPr>
                <w:rFonts w:ascii="Times New Roman" w:eastAsia="Calibri" w:hAnsi="Times New Roman" w:cs="Times New Roman"/>
                <w:b/>
                <w:color w:val="000000"/>
                <w:sz w:val="16"/>
                <w:szCs w:val="16"/>
                <w:lang w:eastAsia="en-US"/>
              </w:rPr>
              <w:t>15 580,2</w:t>
            </w:r>
          </w:p>
        </w:tc>
        <w:tc>
          <w:tcPr>
            <w:tcW w:w="709" w:type="dxa"/>
            <w:gridSpan w:val="3"/>
            <w:shd w:val="clear" w:color="auto" w:fill="FFFFFF"/>
          </w:tcPr>
          <w:p w:rsidR="00030232" w:rsidRPr="00385568" w:rsidRDefault="00030232" w:rsidP="00096AA4">
            <w:pPr>
              <w:spacing w:after="0" w:line="240" w:lineRule="auto"/>
              <w:jc w:val="center"/>
              <w:rPr>
                <w:rFonts w:ascii="Times New Roman" w:eastAsia="Calibri" w:hAnsi="Times New Roman" w:cs="Times New Roman"/>
                <w:b/>
                <w:color w:val="000000"/>
                <w:sz w:val="16"/>
                <w:szCs w:val="16"/>
                <w:lang w:eastAsia="en-US"/>
              </w:rPr>
            </w:pPr>
            <w:r w:rsidRPr="00C9062C">
              <w:rPr>
                <w:rFonts w:ascii="Times New Roman" w:eastAsia="Calibri" w:hAnsi="Times New Roman" w:cs="Times New Roman"/>
                <w:b/>
                <w:color w:val="000000"/>
                <w:sz w:val="16"/>
                <w:szCs w:val="16"/>
                <w:lang w:eastAsia="en-US"/>
              </w:rPr>
              <w:t>16 181,9</w:t>
            </w:r>
          </w:p>
        </w:tc>
        <w:tc>
          <w:tcPr>
            <w:tcW w:w="708" w:type="dxa"/>
            <w:gridSpan w:val="3"/>
            <w:shd w:val="clear" w:color="auto" w:fill="FFFFFF"/>
          </w:tcPr>
          <w:p w:rsidR="00030232" w:rsidRPr="00385568" w:rsidRDefault="00030232" w:rsidP="00096AA4">
            <w:pPr>
              <w:spacing w:after="0" w:line="240" w:lineRule="auto"/>
              <w:jc w:val="center"/>
              <w:rPr>
                <w:rFonts w:ascii="Times New Roman" w:eastAsia="Calibri" w:hAnsi="Times New Roman" w:cs="Times New Roman"/>
                <w:b/>
                <w:color w:val="000000"/>
                <w:sz w:val="16"/>
                <w:szCs w:val="16"/>
                <w:lang w:eastAsia="en-US"/>
              </w:rPr>
            </w:pPr>
            <w:r w:rsidRPr="00C9062C">
              <w:rPr>
                <w:rFonts w:ascii="Times New Roman" w:eastAsia="Calibri" w:hAnsi="Times New Roman" w:cs="Times New Roman"/>
                <w:b/>
                <w:color w:val="000000"/>
                <w:sz w:val="16"/>
                <w:szCs w:val="16"/>
                <w:lang w:eastAsia="en-US"/>
              </w:rPr>
              <w:t>16 833,6</w:t>
            </w:r>
          </w:p>
        </w:tc>
        <w:tc>
          <w:tcPr>
            <w:tcW w:w="851" w:type="dxa"/>
            <w:gridSpan w:val="2"/>
            <w:shd w:val="clear" w:color="auto" w:fill="FFFFFF"/>
          </w:tcPr>
          <w:p w:rsidR="00030232" w:rsidRPr="00385568" w:rsidRDefault="00030232" w:rsidP="00C9062C">
            <w:pPr>
              <w:tabs>
                <w:tab w:val="center" w:pos="177"/>
              </w:tabs>
              <w:spacing w:after="0" w:line="240" w:lineRule="auto"/>
              <w:rPr>
                <w:rFonts w:ascii="Times New Roman" w:eastAsia="Calibri" w:hAnsi="Times New Roman" w:cs="Times New Roman"/>
                <w:b/>
                <w:color w:val="000000"/>
                <w:sz w:val="16"/>
                <w:szCs w:val="16"/>
                <w:lang w:eastAsia="en-US"/>
              </w:rPr>
            </w:pPr>
            <w:r w:rsidRPr="00C9062C">
              <w:rPr>
                <w:rFonts w:ascii="Times New Roman" w:eastAsia="Calibri" w:hAnsi="Times New Roman" w:cs="Times New Roman"/>
                <w:b/>
                <w:color w:val="000000"/>
                <w:sz w:val="16"/>
                <w:szCs w:val="16"/>
                <w:lang w:eastAsia="en-US"/>
              </w:rPr>
              <w:t>17 505,9</w:t>
            </w:r>
          </w:p>
        </w:tc>
        <w:tc>
          <w:tcPr>
            <w:tcW w:w="616" w:type="dxa"/>
            <w:gridSpan w:val="2"/>
            <w:shd w:val="clear" w:color="auto" w:fill="FFFFFF"/>
          </w:tcPr>
          <w:p w:rsidR="00030232" w:rsidRPr="00385568" w:rsidRDefault="00030232" w:rsidP="00096AA4">
            <w:pPr>
              <w:spacing w:after="0" w:line="240" w:lineRule="auto"/>
              <w:jc w:val="center"/>
              <w:rPr>
                <w:rFonts w:ascii="Times New Roman" w:eastAsia="Calibri" w:hAnsi="Times New Roman" w:cs="Times New Roman"/>
                <w:b/>
                <w:color w:val="000000"/>
                <w:sz w:val="16"/>
                <w:szCs w:val="16"/>
                <w:lang w:eastAsia="en-US"/>
              </w:rPr>
            </w:pPr>
            <w:r w:rsidRPr="00C9062C">
              <w:rPr>
                <w:rFonts w:ascii="Times New Roman" w:eastAsia="Calibri" w:hAnsi="Times New Roman" w:cs="Times New Roman"/>
                <w:b/>
                <w:color w:val="000000"/>
                <w:sz w:val="16"/>
                <w:szCs w:val="16"/>
                <w:lang w:eastAsia="en-US"/>
              </w:rPr>
              <w:t>17 943,6</w:t>
            </w:r>
          </w:p>
        </w:tc>
        <w:tc>
          <w:tcPr>
            <w:tcW w:w="1575" w:type="dxa"/>
            <w:gridSpan w:val="2"/>
            <w:shd w:val="clear" w:color="auto" w:fill="FFFFFF"/>
          </w:tcPr>
          <w:p w:rsidR="00030232" w:rsidRPr="00385568" w:rsidRDefault="00030232" w:rsidP="00096AA4">
            <w:pPr>
              <w:spacing w:after="0" w:line="240" w:lineRule="auto"/>
              <w:jc w:val="center"/>
              <w:rPr>
                <w:rFonts w:ascii="Times New Roman" w:eastAsia="Calibri" w:hAnsi="Times New Roman" w:cs="Times New Roman"/>
                <w:b/>
                <w:color w:val="000000"/>
                <w:spacing w:val="-2"/>
                <w:sz w:val="16"/>
                <w:szCs w:val="16"/>
                <w:lang w:eastAsia="en-US"/>
              </w:rPr>
            </w:pPr>
            <w:r w:rsidRPr="00C9062C">
              <w:rPr>
                <w:rFonts w:ascii="Times New Roman" w:eastAsia="Calibri" w:hAnsi="Times New Roman" w:cs="Times New Roman"/>
                <w:b/>
                <w:color w:val="000000"/>
                <w:spacing w:val="-2"/>
                <w:sz w:val="16"/>
                <w:szCs w:val="16"/>
                <w:lang w:eastAsia="en-US"/>
              </w:rPr>
              <w:t>108 467,5</w:t>
            </w:r>
          </w:p>
        </w:tc>
      </w:tr>
      <w:tr w:rsidR="00030232" w:rsidRPr="00385568" w:rsidTr="00030232">
        <w:trPr>
          <w:trHeight w:val="321"/>
        </w:trPr>
        <w:tc>
          <w:tcPr>
            <w:tcW w:w="1977" w:type="dxa"/>
            <w:gridSpan w:val="2"/>
            <w:shd w:val="clear" w:color="auto" w:fill="FFFFFF"/>
            <w:vAlign w:val="center"/>
          </w:tcPr>
          <w:p w:rsidR="00030232" w:rsidRPr="00DD79F7" w:rsidRDefault="00030232"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budżet państwa</w:t>
            </w:r>
          </w:p>
        </w:tc>
        <w:tc>
          <w:tcPr>
            <w:tcW w:w="709" w:type="dxa"/>
            <w:gridSpan w:val="2"/>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154,4</w:t>
            </w:r>
          </w:p>
        </w:tc>
        <w:tc>
          <w:tcPr>
            <w:tcW w:w="567" w:type="dxa"/>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584,5</w:t>
            </w:r>
          </w:p>
        </w:tc>
        <w:tc>
          <w:tcPr>
            <w:tcW w:w="709" w:type="dxa"/>
            <w:gridSpan w:val="3"/>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1 025,3</w:t>
            </w:r>
          </w:p>
        </w:tc>
        <w:tc>
          <w:tcPr>
            <w:tcW w:w="712" w:type="dxa"/>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7 662,6</w:t>
            </w:r>
          </w:p>
        </w:tc>
        <w:tc>
          <w:tcPr>
            <w:tcW w:w="708" w:type="dxa"/>
            <w:gridSpan w:val="3"/>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14 995,6</w:t>
            </w:r>
          </w:p>
        </w:tc>
        <w:tc>
          <w:tcPr>
            <w:tcW w:w="851" w:type="dxa"/>
            <w:gridSpan w:val="2"/>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15 580,2</w:t>
            </w:r>
          </w:p>
        </w:tc>
        <w:tc>
          <w:tcPr>
            <w:tcW w:w="709" w:type="dxa"/>
            <w:gridSpan w:val="3"/>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16 181,9</w:t>
            </w:r>
          </w:p>
        </w:tc>
        <w:tc>
          <w:tcPr>
            <w:tcW w:w="708" w:type="dxa"/>
            <w:gridSpan w:val="3"/>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16 833,6</w:t>
            </w:r>
          </w:p>
        </w:tc>
        <w:tc>
          <w:tcPr>
            <w:tcW w:w="851" w:type="dxa"/>
            <w:gridSpan w:val="2"/>
            <w:shd w:val="clear" w:color="auto" w:fill="FFFFFF"/>
          </w:tcPr>
          <w:p w:rsidR="00030232" w:rsidRPr="000030E1" w:rsidRDefault="00030232" w:rsidP="000030E1">
            <w:pPr>
              <w:tabs>
                <w:tab w:val="center" w:pos="177"/>
              </w:tabs>
              <w:spacing w:after="0" w:line="240" w:lineRule="auto"/>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17 505,9</w:t>
            </w:r>
          </w:p>
        </w:tc>
        <w:tc>
          <w:tcPr>
            <w:tcW w:w="616" w:type="dxa"/>
            <w:gridSpan w:val="2"/>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17 943,6</w:t>
            </w:r>
          </w:p>
        </w:tc>
        <w:tc>
          <w:tcPr>
            <w:tcW w:w="1575" w:type="dxa"/>
            <w:gridSpan w:val="2"/>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pacing w:val="-2"/>
                <w:sz w:val="16"/>
                <w:szCs w:val="16"/>
                <w:lang w:eastAsia="en-US"/>
              </w:rPr>
            </w:pPr>
            <w:r w:rsidRPr="000030E1">
              <w:rPr>
                <w:rFonts w:ascii="Times New Roman" w:eastAsia="Calibri" w:hAnsi="Times New Roman" w:cs="Times New Roman"/>
                <w:color w:val="000000"/>
                <w:spacing w:val="-2"/>
                <w:sz w:val="16"/>
                <w:szCs w:val="16"/>
                <w:lang w:eastAsia="en-US"/>
              </w:rPr>
              <w:t>108 467,5</w:t>
            </w:r>
          </w:p>
        </w:tc>
      </w:tr>
      <w:tr w:rsidR="00030232" w:rsidRPr="00385568" w:rsidTr="00030232">
        <w:trPr>
          <w:trHeight w:val="344"/>
        </w:trPr>
        <w:tc>
          <w:tcPr>
            <w:tcW w:w="1977" w:type="dxa"/>
            <w:gridSpan w:val="2"/>
            <w:shd w:val="clear" w:color="auto" w:fill="FFFFFF"/>
            <w:vAlign w:val="center"/>
          </w:tcPr>
          <w:p w:rsidR="00030232" w:rsidRPr="00DD79F7" w:rsidRDefault="00030232"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JST</w:t>
            </w:r>
          </w:p>
        </w:tc>
        <w:tc>
          <w:tcPr>
            <w:tcW w:w="709"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567" w:type="dxa"/>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9"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12" w:type="dxa"/>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8"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851"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9"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8"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851"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616"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1575"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0</w:t>
            </w:r>
          </w:p>
        </w:tc>
      </w:tr>
      <w:tr w:rsidR="00030232" w:rsidRPr="00385568" w:rsidTr="00030232">
        <w:trPr>
          <w:trHeight w:val="344"/>
        </w:trPr>
        <w:tc>
          <w:tcPr>
            <w:tcW w:w="1977" w:type="dxa"/>
            <w:gridSpan w:val="2"/>
            <w:shd w:val="clear" w:color="auto" w:fill="FFFFFF"/>
            <w:vAlign w:val="center"/>
          </w:tcPr>
          <w:p w:rsidR="00030232" w:rsidRPr="00DD79F7" w:rsidRDefault="00030232"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pozostałe jednostki (oddzielnie)</w:t>
            </w:r>
          </w:p>
        </w:tc>
        <w:tc>
          <w:tcPr>
            <w:tcW w:w="709"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567" w:type="dxa"/>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9"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12" w:type="dxa"/>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8"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851"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9"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8"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851"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616"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1575"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0</w:t>
            </w:r>
          </w:p>
        </w:tc>
      </w:tr>
      <w:tr w:rsidR="00030232" w:rsidRPr="00385568" w:rsidTr="00030232">
        <w:trPr>
          <w:trHeight w:val="330"/>
        </w:trPr>
        <w:tc>
          <w:tcPr>
            <w:tcW w:w="1977" w:type="dxa"/>
            <w:gridSpan w:val="2"/>
            <w:shd w:val="clear" w:color="auto" w:fill="FFFFFF"/>
            <w:vAlign w:val="center"/>
          </w:tcPr>
          <w:p w:rsidR="00030232" w:rsidRPr="00DD79F7" w:rsidRDefault="00030232"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b/>
                <w:color w:val="000000"/>
                <w:lang w:eastAsia="en-US"/>
              </w:rPr>
              <w:t>Wydatki ogółem</w:t>
            </w:r>
          </w:p>
        </w:tc>
        <w:tc>
          <w:tcPr>
            <w:tcW w:w="709" w:type="dxa"/>
            <w:gridSpan w:val="2"/>
            <w:shd w:val="clear" w:color="auto" w:fill="FFFFFF"/>
          </w:tcPr>
          <w:p w:rsidR="00030232" w:rsidRPr="00AB2235" w:rsidRDefault="00030232" w:rsidP="000030E1">
            <w:pPr>
              <w:spacing w:after="0" w:line="240" w:lineRule="auto"/>
              <w:jc w:val="center"/>
              <w:rPr>
                <w:rFonts w:ascii="Times New Roman" w:eastAsia="Calibri" w:hAnsi="Times New Roman" w:cs="Times New Roman"/>
                <w:b/>
                <w:color w:val="000000"/>
                <w:sz w:val="16"/>
                <w:szCs w:val="16"/>
                <w:lang w:eastAsia="en-US"/>
              </w:rPr>
            </w:pPr>
            <w:r w:rsidRPr="00AB2235">
              <w:rPr>
                <w:rFonts w:ascii="Times New Roman" w:eastAsia="Calibri" w:hAnsi="Times New Roman" w:cs="Times New Roman"/>
                <w:b/>
                <w:color w:val="000000"/>
                <w:sz w:val="16"/>
                <w:szCs w:val="16"/>
                <w:lang w:eastAsia="en-US"/>
              </w:rPr>
              <w:t>10,8</w:t>
            </w:r>
          </w:p>
        </w:tc>
        <w:tc>
          <w:tcPr>
            <w:tcW w:w="567" w:type="dxa"/>
            <w:shd w:val="clear" w:color="auto" w:fill="FFFFFF"/>
          </w:tcPr>
          <w:p w:rsidR="00030232" w:rsidRPr="00AB2235" w:rsidRDefault="00030232" w:rsidP="000030E1">
            <w:pPr>
              <w:spacing w:after="0" w:line="240" w:lineRule="auto"/>
              <w:jc w:val="center"/>
              <w:rPr>
                <w:rFonts w:ascii="Times New Roman" w:eastAsia="Calibri" w:hAnsi="Times New Roman" w:cs="Times New Roman"/>
                <w:b/>
                <w:color w:val="000000"/>
                <w:sz w:val="16"/>
                <w:szCs w:val="16"/>
                <w:lang w:eastAsia="en-US"/>
              </w:rPr>
            </w:pPr>
            <w:r w:rsidRPr="00AB2235">
              <w:rPr>
                <w:rFonts w:ascii="Times New Roman" w:eastAsia="Calibri" w:hAnsi="Times New Roman" w:cs="Times New Roman"/>
                <w:b/>
                <w:color w:val="000000"/>
                <w:sz w:val="16"/>
                <w:szCs w:val="16"/>
                <w:lang w:eastAsia="en-US"/>
              </w:rPr>
              <w:t>20,2</w:t>
            </w:r>
          </w:p>
        </w:tc>
        <w:tc>
          <w:tcPr>
            <w:tcW w:w="709" w:type="dxa"/>
            <w:gridSpan w:val="3"/>
            <w:shd w:val="clear" w:color="auto" w:fill="FFFFFF"/>
          </w:tcPr>
          <w:p w:rsidR="00030232" w:rsidRPr="00AB2235" w:rsidRDefault="00030232" w:rsidP="000030E1">
            <w:pPr>
              <w:spacing w:after="0" w:line="240" w:lineRule="auto"/>
              <w:jc w:val="center"/>
              <w:rPr>
                <w:rFonts w:ascii="Times New Roman" w:eastAsia="Calibri" w:hAnsi="Times New Roman" w:cs="Times New Roman"/>
                <w:b/>
                <w:color w:val="000000"/>
                <w:sz w:val="16"/>
                <w:szCs w:val="16"/>
                <w:lang w:eastAsia="en-US"/>
              </w:rPr>
            </w:pPr>
            <w:r w:rsidRPr="00AB2235">
              <w:rPr>
                <w:rFonts w:ascii="Times New Roman" w:eastAsia="Calibri" w:hAnsi="Times New Roman" w:cs="Times New Roman"/>
                <w:b/>
                <w:color w:val="000000"/>
                <w:sz w:val="16"/>
                <w:szCs w:val="16"/>
                <w:lang w:eastAsia="en-US"/>
              </w:rPr>
              <w:t>9,7</w:t>
            </w:r>
          </w:p>
        </w:tc>
        <w:tc>
          <w:tcPr>
            <w:tcW w:w="712" w:type="dxa"/>
            <w:shd w:val="clear" w:color="auto" w:fill="FFFFFF"/>
          </w:tcPr>
          <w:p w:rsidR="00030232" w:rsidRPr="00AB2235" w:rsidRDefault="00030232" w:rsidP="000030E1">
            <w:pPr>
              <w:spacing w:after="0" w:line="240" w:lineRule="auto"/>
              <w:jc w:val="center"/>
              <w:rPr>
                <w:rFonts w:ascii="Times New Roman" w:eastAsia="Calibri" w:hAnsi="Times New Roman" w:cs="Times New Roman"/>
                <w:b/>
                <w:color w:val="000000"/>
                <w:sz w:val="16"/>
                <w:szCs w:val="16"/>
                <w:lang w:eastAsia="en-US"/>
              </w:rPr>
            </w:pPr>
            <w:r w:rsidRPr="00AB2235">
              <w:rPr>
                <w:rFonts w:ascii="Times New Roman" w:eastAsia="Calibri" w:hAnsi="Times New Roman" w:cs="Times New Roman"/>
                <w:b/>
                <w:color w:val="000000"/>
                <w:sz w:val="16"/>
                <w:szCs w:val="16"/>
                <w:lang w:eastAsia="en-US"/>
              </w:rPr>
              <w:t>9,7</w:t>
            </w:r>
          </w:p>
        </w:tc>
        <w:tc>
          <w:tcPr>
            <w:tcW w:w="708" w:type="dxa"/>
            <w:gridSpan w:val="3"/>
            <w:shd w:val="clear" w:color="auto" w:fill="FFFFFF"/>
          </w:tcPr>
          <w:p w:rsidR="00030232" w:rsidRPr="00AB2235" w:rsidRDefault="00030232" w:rsidP="000030E1">
            <w:pPr>
              <w:spacing w:after="0" w:line="240" w:lineRule="auto"/>
              <w:jc w:val="center"/>
              <w:rPr>
                <w:rFonts w:ascii="Times New Roman" w:eastAsia="Calibri" w:hAnsi="Times New Roman" w:cs="Times New Roman"/>
                <w:b/>
                <w:color w:val="000000"/>
                <w:sz w:val="16"/>
                <w:szCs w:val="16"/>
                <w:lang w:eastAsia="en-US"/>
              </w:rPr>
            </w:pPr>
            <w:r w:rsidRPr="00AB2235">
              <w:rPr>
                <w:rFonts w:ascii="Times New Roman" w:eastAsia="Calibri" w:hAnsi="Times New Roman" w:cs="Times New Roman"/>
                <w:b/>
                <w:color w:val="000000"/>
                <w:sz w:val="16"/>
                <w:szCs w:val="16"/>
                <w:lang w:eastAsia="en-US"/>
              </w:rPr>
              <w:t>9,7</w:t>
            </w:r>
          </w:p>
        </w:tc>
        <w:tc>
          <w:tcPr>
            <w:tcW w:w="851" w:type="dxa"/>
            <w:gridSpan w:val="2"/>
            <w:shd w:val="clear" w:color="auto" w:fill="FFFFFF"/>
          </w:tcPr>
          <w:p w:rsidR="00030232" w:rsidRPr="00AB2235" w:rsidRDefault="00030232" w:rsidP="000030E1">
            <w:pPr>
              <w:spacing w:after="0" w:line="240" w:lineRule="auto"/>
              <w:jc w:val="center"/>
              <w:rPr>
                <w:rFonts w:ascii="Times New Roman" w:eastAsia="Calibri" w:hAnsi="Times New Roman" w:cs="Times New Roman"/>
                <w:b/>
                <w:color w:val="000000"/>
                <w:sz w:val="16"/>
                <w:szCs w:val="16"/>
                <w:lang w:eastAsia="en-US"/>
              </w:rPr>
            </w:pPr>
            <w:r w:rsidRPr="00AB2235">
              <w:rPr>
                <w:rFonts w:ascii="Times New Roman" w:eastAsia="Calibri" w:hAnsi="Times New Roman" w:cs="Times New Roman"/>
                <w:b/>
                <w:color w:val="000000"/>
                <w:sz w:val="16"/>
                <w:szCs w:val="16"/>
                <w:lang w:eastAsia="en-US"/>
              </w:rPr>
              <w:t>9,7</w:t>
            </w:r>
          </w:p>
        </w:tc>
        <w:tc>
          <w:tcPr>
            <w:tcW w:w="709" w:type="dxa"/>
            <w:gridSpan w:val="3"/>
            <w:shd w:val="clear" w:color="auto" w:fill="FFFFFF"/>
          </w:tcPr>
          <w:p w:rsidR="00030232" w:rsidRPr="00AB2235" w:rsidRDefault="00030232" w:rsidP="000030E1">
            <w:pPr>
              <w:spacing w:after="0" w:line="240" w:lineRule="auto"/>
              <w:jc w:val="center"/>
              <w:rPr>
                <w:rFonts w:ascii="Times New Roman" w:eastAsia="Calibri" w:hAnsi="Times New Roman" w:cs="Times New Roman"/>
                <w:b/>
                <w:color w:val="000000"/>
                <w:sz w:val="16"/>
                <w:szCs w:val="16"/>
                <w:lang w:eastAsia="en-US"/>
              </w:rPr>
            </w:pPr>
            <w:r w:rsidRPr="00AB2235">
              <w:rPr>
                <w:rFonts w:ascii="Times New Roman" w:eastAsia="Calibri" w:hAnsi="Times New Roman" w:cs="Times New Roman"/>
                <w:b/>
                <w:color w:val="000000"/>
                <w:sz w:val="16"/>
                <w:szCs w:val="16"/>
                <w:lang w:eastAsia="en-US"/>
              </w:rPr>
              <w:t>9,7</w:t>
            </w:r>
          </w:p>
        </w:tc>
        <w:tc>
          <w:tcPr>
            <w:tcW w:w="708" w:type="dxa"/>
            <w:gridSpan w:val="3"/>
            <w:shd w:val="clear" w:color="auto" w:fill="FFFFFF"/>
          </w:tcPr>
          <w:p w:rsidR="00030232" w:rsidRPr="00AB2235" w:rsidRDefault="00030232" w:rsidP="000030E1">
            <w:pPr>
              <w:spacing w:after="0" w:line="240" w:lineRule="auto"/>
              <w:jc w:val="center"/>
              <w:rPr>
                <w:rFonts w:ascii="Times New Roman" w:eastAsia="Calibri" w:hAnsi="Times New Roman" w:cs="Times New Roman"/>
                <w:b/>
                <w:color w:val="000000"/>
                <w:sz w:val="16"/>
                <w:szCs w:val="16"/>
                <w:lang w:eastAsia="en-US"/>
              </w:rPr>
            </w:pPr>
            <w:r w:rsidRPr="00AB2235">
              <w:rPr>
                <w:rFonts w:ascii="Times New Roman" w:eastAsia="Calibri" w:hAnsi="Times New Roman" w:cs="Times New Roman"/>
                <w:b/>
                <w:color w:val="000000"/>
                <w:sz w:val="16"/>
                <w:szCs w:val="16"/>
                <w:lang w:eastAsia="en-US"/>
              </w:rPr>
              <w:t>9,7</w:t>
            </w:r>
          </w:p>
        </w:tc>
        <w:tc>
          <w:tcPr>
            <w:tcW w:w="851" w:type="dxa"/>
            <w:gridSpan w:val="2"/>
            <w:shd w:val="clear" w:color="auto" w:fill="FFFFFF"/>
          </w:tcPr>
          <w:p w:rsidR="00030232" w:rsidRPr="00AB2235" w:rsidRDefault="00030232" w:rsidP="000030E1">
            <w:pPr>
              <w:spacing w:after="0" w:line="240" w:lineRule="auto"/>
              <w:jc w:val="center"/>
              <w:rPr>
                <w:rFonts w:ascii="Times New Roman" w:eastAsia="Calibri" w:hAnsi="Times New Roman" w:cs="Times New Roman"/>
                <w:b/>
                <w:color w:val="000000"/>
                <w:sz w:val="16"/>
                <w:szCs w:val="16"/>
                <w:lang w:eastAsia="en-US"/>
              </w:rPr>
            </w:pPr>
            <w:r w:rsidRPr="00AB2235">
              <w:rPr>
                <w:rFonts w:ascii="Times New Roman" w:eastAsia="Calibri" w:hAnsi="Times New Roman" w:cs="Times New Roman"/>
                <w:b/>
                <w:color w:val="000000"/>
                <w:sz w:val="16"/>
                <w:szCs w:val="16"/>
                <w:lang w:eastAsia="en-US"/>
              </w:rPr>
              <w:t>9,7</w:t>
            </w:r>
          </w:p>
        </w:tc>
        <w:tc>
          <w:tcPr>
            <w:tcW w:w="616" w:type="dxa"/>
            <w:gridSpan w:val="2"/>
            <w:shd w:val="clear" w:color="auto" w:fill="FFFFFF"/>
          </w:tcPr>
          <w:p w:rsidR="00030232" w:rsidRPr="00AB2235" w:rsidRDefault="00030232" w:rsidP="000030E1">
            <w:pPr>
              <w:spacing w:after="0" w:line="240" w:lineRule="auto"/>
              <w:jc w:val="center"/>
              <w:rPr>
                <w:rFonts w:ascii="Times New Roman" w:eastAsia="Calibri" w:hAnsi="Times New Roman" w:cs="Times New Roman"/>
                <w:b/>
                <w:color w:val="000000"/>
                <w:sz w:val="16"/>
                <w:szCs w:val="16"/>
                <w:lang w:eastAsia="en-US"/>
              </w:rPr>
            </w:pPr>
            <w:r w:rsidRPr="00AB2235">
              <w:rPr>
                <w:rFonts w:ascii="Times New Roman" w:eastAsia="Calibri" w:hAnsi="Times New Roman" w:cs="Times New Roman"/>
                <w:b/>
                <w:color w:val="000000"/>
                <w:sz w:val="16"/>
                <w:szCs w:val="16"/>
                <w:lang w:eastAsia="en-US"/>
              </w:rPr>
              <w:t>9,7</w:t>
            </w:r>
          </w:p>
        </w:tc>
        <w:tc>
          <w:tcPr>
            <w:tcW w:w="1575" w:type="dxa"/>
            <w:gridSpan w:val="2"/>
            <w:shd w:val="clear" w:color="auto" w:fill="FFFFFF"/>
          </w:tcPr>
          <w:p w:rsidR="00030232" w:rsidRPr="00AB2235" w:rsidRDefault="00030232" w:rsidP="000030E1">
            <w:pPr>
              <w:spacing w:after="0" w:line="240" w:lineRule="auto"/>
              <w:jc w:val="center"/>
              <w:rPr>
                <w:rFonts w:ascii="Times New Roman" w:eastAsia="Calibri" w:hAnsi="Times New Roman" w:cs="Times New Roman"/>
                <w:b/>
                <w:color w:val="000000"/>
                <w:sz w:val="16"/>
                <w:szCs w:val="16"/>
                <w:lang w:eastAsia="en-US"/>
              </w:rPr>
            </w:pPr>
            <w:r>
              <w:rPr>
                <w:rFonts w:ascii="Times New Roman" w:eastAsia="Calibri" w:hAnsi="Times New Roman" w:cs="Times New Roman"/>
                <w:b/>
                <w:color w:val="000000"/>
                <w:sz w:val="16"/>
                <w:szCs w:val="16"/>
                <w:lang w:eastAsia="en-US"/>
              </w:rPr>
              <w:t>108,6</w:t>
            </w:r>
          </w:p>
        </w:tc>
      </w:tr>
      <w:tr w:rsidR="00030232" w:rsidRPr="00385568" w:rsidTr="00030232">
        <w:trPr>
          <w:trHeight w:val="330"/>
        </w:trPr>
        <w:tc>
          <w:tcPr>
            <w:tcW w:w="1977" w:type="dxa"/>
            <w:gridSpan w:val="2"/>
            <w:shd w:val="clear" w:color="auto" w:fill="FFFFFF"/>
            <w:vAlign w:val="center"/>
          </w:tcPr>
          <w:p w:rsidR="00030232" w:rsidRPr="00DD79F7" w:rsidRDefault="00030232"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budżet państwa</w:t>
            </w:r>
          </w:p>
        </w:tc>
        <w:tc>
          <w:tcPr>
            <w:tcW w:w="709" w:type="dxa"/>
            <w:gridSpan w:val="2"/>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10,8</w:t>
            </w:r>
          </w:p>
        </w:tc>
        <w:tc>
          <w:tcPr>
            <w:tcW w:w="567" w:type="dxa"/>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20,2</w:t>
            </w:r>
          </w:p>
        </w:tc>
        <w:tc>
          <w:tcPr>
            <w:tcW w:w="709" w:type="dxa"/>
            <w:gridSpan w:val="3"/>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9,7</w:t>
            </w:r>
          </w:p>
        </w:tc>
        <w:tc>
          <w:tcPr>
            <w:tcW w:w="712" w:type="dxa"/>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9,7</w:t>
            </w:r>
          </w:p>
        </w:tc>
        <w:tc>
          <w:tcPr>
            <w:tcW w:w="708" w:type="dxa"/>
            <w:gridSpan w:val="3"/>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9,7</w:t>
            </w:r>
          </w:p>
        </w:tc>
        <w:tc>
          <w:tcPr>
            <w:tcW w:w="851" w:type="dxa"/>
            <w:gridSpan w:val="2"/>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9,7</w:t>
            </w:r>
          </w:p>
        </w:tc>
        <w:tc>
          <w:tcPr>
            <w:tcW w:w="709" w:type="dxa"/>
            <w:gridSpan w:val="3"/>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9,7</w:t>
            </w:r>
          </w:p>
        </w:tc>
        <w:tc>
          <w:tcPr>
            <w:tcW w:w="708" w:type="dxa"/>
            <w:gridSpan w:val="3"/>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9,7</w:t>
            </w:r>
          </w:p>
        </w:tc>
        <w:tc>
          <w:tcPr>
            <w:tcW w:w="851" w:type="dxa"/>
            <w:gridSpan w:val="2"/>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9,7</w:t>
            </w:r>
          </w:p>
        </w:tc>
        <w:tc>
          <w:tcPr>
            <w:tcW w:w="616" w:type="dxa"/>
            <w:gridSpan w:val="2"/>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9,7</w:t>
            </w:r>
          </w:p>
        </w:tc>
        <w:tc>
          <w:tcPr>
            <w:tcW w:w="1575" w:type="dxa"/>
            <w:gridSpan w:val="2"/>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108,6</w:t>
            </w:r>
          </w:p>
        </w:tc>
      </w:tr>
      <w:tr w:rsidR="00030232" w:rsidRPr="00385568" w:rsidTr="00030232">
        <w:trPr>
          <w:trHeight w:val="351"/>
        </w:trPr>
        <w:tc>
          <w:tcPr>
            <w:tcW w:w="1977" w:type="dxa"/>
            <w:gridSpan w:val="2"/>
            <w:shd w:val="clear" w:color="auto" w:fill="FFFFFF"/>
            <w:vAlign w:val="center"/>
          </w:tcPr>
          <w:p w:rsidR="00030232" w:rsidRPr="00DD79F7" w:rsidRDefault="00030232"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JST</w:t>
            </w:r>
          </w:p>
        </w:tc>
        <w:tc>
          <w:tcPr>
            <w:tcW w:w="709"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567" w:type="dxa"/>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9"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12" w:type="dxa"/>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8"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851"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9"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8"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851"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616"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1575"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0</w:t>
            </w:r>
          </w:p>
        </w:tc>
      </w:tr>
      <w:tr w:rsidR="00030232" w:rsidRPr="00385568" w:rsidTr="00030232">
        <w:trPr>
          <w:trHeight w:val="351"/>
        </w:trPr>
        <w:tc>
          <w:tcPr>
            <w:tcW w:w="1977" w:type="dxa"/>
            <w:gridSpan w:val="2"/>
            <w:shd w:val="clear" w:color="auto" w:fill="FFFFFF"/>
            <w:vAlign w:val="center"/>
          </w:tcPr>
          <w:p w:rsidR="00030232" w:rsidRPr="00DD79F7" w:rsidRDefault="00030232"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pozostałe jednostki (oddzielnie)</w:t>
            </w:r>
          </w:p>
        </w:tc>
        <w:tc>
          <w:tcPr>
            <w:tcW w:w="709"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567" w:type="dxa"/>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9"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12" w:type="dxa"/>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8"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851"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9"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8"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851"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616"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1575"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0</w:t>
            </w:r>
          </w:p>
        </w:tc>
      </w:tr>
      <w:tr w:rsidR="00030232" w:rsidRPr="00385568" w:rsidTr="00030232">
        <w:trPr>
          <w:trHeight w:val="360"/>
        </w:trPr>
        <w:tc>
          <w:tcPr>
            <w:tcW w:w="1977" w:type="dxa"/>
            <w:gridSpan w:val="2"/>
            <w:shd w:val="clear" w:color="auto" w:fill="FFFFFF"/>
            <w:vAlign w:val="center"/>
          </w:tcPr>
          <w:p w:rsidR="00030232" w:rsidRPr="00DD79F7" w:rsidRDefault="00030232"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b/>
                <w:color w:val="000000"/>
                <w:lang w:eastAsia="en-US"/>
              </w:rPr>
              <w:t>Saldo ogółem</w:t>
            </w:r>
          </w:p>
        </w:tc>
        <w:tc>
          <w:tcPr>
            <w:tcW w:w="709" w:type="dxa"/>
            <w:gridSpan w:val="2"/>
            <w:shd w:val="clear" w:color="auto" w:fill="FFFFFF"/>
          </w:tcPr>
          <w:p w:rsidR="00030232" w:rsidRPr="000F049D" w:rsidRDefault="00030232" w:rsidP="000030E1">
            <w:pPr>
              <w:spacing w:after="0" w:line="240" w:lineRule="auto"/>
              <w:jc w:val="center"/>
              <w:rPr>
                <w:rFonts w:ascii="Times New Roman" w:eastAsia="Calibri" w:hAnsi="Times New Roman" w:cs="Times New Roman"/>
                <w:b/>
                <w:color w:val="000000"/>
                <w:sz w:val="16"/>
                <w:szCs w:val="16"/>
                <w:lang w:eastAsia="en-US"/>
              </w:rPr>
            </w:pPr>
            <w:r w:rsidRPr="000F049D">
              <w:rPr>
                <w:rFonts w:ascii="Times New Roman" w:eastAsia="Calibri" w:hAnsi="Times New Roman" w:cs="Times New Roman"/>
                <w:b/>
                <w:color w:val="000000"/>
                <w:sz w:val="16"/>
                <w:szCs w:val="16"/>
                <w:lang w:eastAsia="en-US"/>
              </w:rPr>
              <w:t>143,6</w:t>
            </w:r>
          </w:p>
        </w:tc>
        <w:tc>
          <w:tcPr>
            <w:tcW w:w="567" w:type="dxa"/>
            <w:shd w:val="clear" w:color="auto" w:fill="FFFFFF"/>
          </w:tcPr>
          <w:p w:rsidR="00030232" w:rsidRPr="000F049D" w:rsidRDefault="00030232" w:rsidP="000030E1">
            <w:pPr>
              <w:spacing w:after="0" w:line="240" w:lineRule="auto"/>
              <w:jc w:val="center"/>
              <w:rPr>
                <w:rFonts w:ascii="Times New Roman" w:eastAsia="Calibri" w:hAnsi="Times New Roman" w:cs="Times New Roman"/>
                <w:b/>
                <w:color w:val="000000"/>
                <w:sz w:val="16"/>
                <w:szCs w:val="16"/>
                <w:lang w:eastAsia="en-US"/>
              </w:rPr>
            </w:pPr>
            <w:r w:rsidRPr="000F049D">
              <w:rPr>
                <w:rFonts w:ascii="Times New Roman" w:eastAsia="Calibri" w:hAnsi="Times New Roman" w:cs="Times New Roman"/>
                <w:b/>
                <w:color w:val="000000"/>
                <w:sz w:val="16"/>
                <w:szCs w:val="16"/>
                <w:lang w:eastAsia="en-US"/>
              </w:rPr>
              <w:t>564,3</w:t>
            </w:r>
          </w:p>
        </w:tc>
        <w:tc>
          <w:tcPr>
            <w:tcW w:w="709" w:type="dxa"/>
            <w:gridSpan w:val="3"/>
            <w:shd w:val="clear" w:color="auto" w:fill="FFFFFF"/>
          </w:tcPr>
          <w:p w:rsidR="00030232" w:rsidRPr="000F049D" w:rsidRDefault="00030232" w:rsidP="000030E1">
            <w:pPr>
              <w:spacing w:after="0" w:line="240" w:lineRule="auto"/>
              <w:jc w:val="center"/>
              <w:rPr>
                <w:rFonts w:ascii="Times New Roman" w:eastAsia="Calibri" w:hAnsi="Times New Roman" w:cs="Times New Roman"/>
                <w:b/>
                <w:color w:val="000000"/>
                <w:sz w:val="16"/>
                <w:szCs w:val="16"/>
                <w:lang w:eastAsia="en-US"/>
              </w:rPr>
            </w:pPr>
            <w:r w:rsidRPr="000F049D">
              <w:rPr>
                <w:rFonts w:ascii="Times New Roman" w:eastAsia="Calibri" w:hAnsi="Times New Roman" w:cs="Times New Roman"/>
                <w:b/>
                <w:color w:val="000000"/>
                <w:sz w:val="16"/>
                <w:szCs w:val="16"/>
                <w:lang w:eastAsia="en-US"/>
              </w:rPr>
              <w:t>1 015,6</w:t>
            </w:r>
          </w:p>
        </w:tc>
        <w:tc>
          <w:tcPr>
            <w:tcW w:w="712" w:type="dxa"/>
            <w:shd w:val="clear" w:color="auto" w:fill="FFFFFF"/>
          </w:tcPr>
          <w:p w:rsidR="00030232" w:rsidRPr="000F049D" w:rsidRDefault="00030232" w:rsidP="000030E1">
            <w:pPr>
              <w:spacing w:after="0" w:line="240" w:lineRule="auto"/>
              <w:jc w:val="center"/>
              <w:rPr>
                <w:rFonts w:ascii="Times New Roman" w:eastAsia="Calibri" w:hAnsi="Times New Roman" w:cs="Times New Roman"/>
                <w:b/>
                <w:color w:val="000000"/>
                <w:sz w:val="16"/>
                <w:szCs w:val="16"/>
                <w:lang w:eastAsia="en-US"/>
              </w:rPr>
            </w:pPr>
            <w:r w:rsidRPr="000F049D">
              <w:rPr>
                <w:rFonts w:ascii="Times New Roman" w:eastAsia="Calibri" w:hAnsi="Times New Roman" w:cs="Times New Roman"/>
                <w:b/>
                <w:color w:val="000000"/>
                <w:sz w:val="16"/>
                <w:szCs w:val="16"/>
                <w:lang w:eastAsia="en-US"/>
              </w:rPr>
              <w:t>7 652,9</w:t>
            </w:r>
          </w:p>
        </w:tc>
        <w:tc>
          <w:tcPr>
            <w:tcW w:w="708" w:type="dxa"/>
            <w:gridSpan w:val="3"/>
            <w:shd w:val="clear" w:color="auto" w:fill="FFFFFF"/>
          </w:tcPr>
          <w:p w:rsidR="00030232" w:rsidRPr="000F049D" w:rsidRDefault="00030232" w:rsidP="000030E1">
            <w:pPr>
              <w:spacing w:after="0" w:line="240" w:lineRule="auto"/>
              <w:jc w:val="center"/>
              <w:rPr>
                <w:rFonts w:ascii="Times New Roman" w:eastAsia="Calibri" w:hAnsi="Times New Roman" w:cs="Times New Roman"/>
                <w:b/>
                <w:color w:val="000000"/>
                <w:sz w:val="16"/>
                <w:szCs w:val="16"/>
                <w:lang w:eastAsia="en-US"/>
              </w:rPr>
            </w:pPr>
            <w:r w:rsidRPr="000F049D">
              <w:rPr>
                <w:rFonts w:ascii="Times New Roman" w:eastAsia="Calibri" w:hAnsi="Times New Roman" w:cs="Times New Roman"/>
                <w:b/>
                <w:color w:val="000000"/>
                <w:sz w:val="16"/>
                <w:szCs w:val="16"/>
                <w:lang w:eastAsia="en-US"/>
              </w:rPr>
              <w:t>14 985,9</w:t>
            </w:r>
          </w:p>
        </w:tc>
        <w:tc>
          <w:tcPr>
            <w:tcW w:w="851" w:type="dxa"/>
            <w:gridSpan w:val="2"/>
            <w:shd w:val="clear" w:color="auto" w:fill="FFFFFF"/>
          </w:tcPr>
          <w:p w:rsidR="00030232" w:rsidRPr="000F049D" w:rsidRDefault="00030232" w:rsidP="000030E1">
            <w:pPr>
              <w:spacing w:after="0" w:line="240" w:lineRule="auto"/>
              <w:jc w:val="center"/>
              <w:rPr>
                <w:rFonts w:ascii="Times New Roman" w:eastAsia="Calibri" w:hAnsi="Times New Roman" w:cs="Times New Roman"/>
                <w:b/>
                <w:color w:val="000000"/>
                <w:sz w:val="16"/>
                <w:szCs w:val="16"/>
                <w:lang w:eastAsia="en-US"/>
              </w:rPr>
            </w:pPr>
            <w:r w:rsidRPr="000F049D">
              <w:rPr>
                <w:rFonts w:ascii="Times New Roman" w:eastAsia="Calibri" w:hAnsi="Times New Roman" w:cs="Times New Roman"/>
                <w:b/>
                <w:color w:val="000000"/>
                <w:sz w:val="16"/>
                <w:szCs w:val="16"/>
                <w:lang w:eastAsia="en-US"/>
              </w:rPr>
              <w:t>15 570,5</w:t>
            </w:r>
          </w:p>
        </w:tc>
        <w:tc>
          <w:tcPr>
            <w:tcW w:w="709" w:type="dxa"/>
            <w:gridSpan w:val="3"/>
            <w:shd w:val="clear" w:color="auto" w:fill="FFFFFF"/>
          </w:tcPr>
          <w:p w:rsidR="00030232" w:rsidRPr="000F049D" w:rsidRDefault="00030232" w:rsidP="000030E1">
            <w:pPr>
              <w:spacing w:after="0" w:line="240" w:lineRule="auto"/>
              <w:jc w:val="center"/>
              <w:rPr>
                <w:rFonts w:ascii="Times New Roman" w:eastAsia="Calibri" w:hAnsi="Times New Roman" w:cs="Times New Roman"/>
                <w:b/>
                <w:color w:val="000000"/>
                <w:sz w:val="16"/>
                <w:szCs w:val="16"/>
                <w:lang w:eastAsia="en-US"/>
              </w:rPr>
            </w:pPr>
            <w:r w:rsidRPr="000F049D">
              <w:rPr>
                <w:rFonts w:ascii="Times New Roman" w:eastAsia="Calibri" w:hAnsi="Times New Roman" w:cs="Times New Roman"/>
                <w:b/>
                <w:color w:val="000000"/>
                <w:sz w:val="16"/>
                <w:szCs w:val="16"/>
                <w:lang w:eastAsia="en-US"/>
              </w:rPr>
              <w:t>16 172,2</w:t>
            </w:r>
          </w:p>
        </w:tc>
        <w:tc>
          <w:tcPr>
            <w:tcW w:w="708" w:type="dxa"/>
            <w:gridSpan w:val="3"/>
            <w:shd w:val="clear" w:color="auto" w:fill="FFFFFF"/>
          </w:tcPr>
          <w:p w:rsidR="00030232" w:rsidRPr="000F049D" w:rsidRDefault="00030232" w:rsidP="000030E1">
            <w:pPr>
              <w:spacing w:after="0" w:line="240" w:lineRule="auto"/>
              <w:jc w:val="center"/>
              <w:rPr>
                <w:rFonts w:ascii="Times New Roman" w:eastAsia="Calibri" w:hAnsi="Times New Roman" w:cs="Times New Roman"/>
                <w:b/>
                <w:color w:val="000000"/>
                <w:sz w:val="16"/>
                <w:szCs w:val="16"/>
                <w:lang w:eastAsia="en-US"/>
              </w:rPr>
            </w:pPr>
            <w:r w:rsidRPr="000F049D">
              <w:rPr>
                <w:rFonts w:ascii="Times New Roman" w:eastAsia="Calibri" w:hAnsi="Times New Roman" w:cs="Times New Roman"/>
                <w:b/>
                <w:color w:val="000000"/>
                <w:sz w:val="16"/>
                <w:szCs w:val="16"/>
                <w:lang w:eastAsia="en-US"/>
              </w:rPr>
              <w:t>16 823,9</w:t>
            </w:r>
          </w:p>
        </w:tc>
        <w:tc>
          <w:tcPr>
            <w:tcW w:w="851" w:type="dxa"/>
            <w:gridSpan w:val="2"/>
            <w:shd w:val="clear" w:color="auto" w:fill="FFFFFF"/>
          </w:tcPr>
          <w:p w:rsidR="00030232" w:rsidRPr="000F049D" w:rsidRDefault="00030232" w:rsidP="000030E1">
            <w:pPr>
              <w:spacing w:after="0" w:line="240" w:lineRule="auto"/>
              <w:jc w:val="center"/>
              <w:rPr>
                <w:rFonts w:ascii="Times New Roman" w:eastAsia="Calibri" w:hAnsi="Times New Roman" w:cs="Times New Roman"/>
                <w:b/>
                <w:color w:val="000000"/>
                <w:sz w:val="16"/>
                <w:szCs w:val="16"/>
                <w:lang w:eastAsia="en-US"/>
              </w:rPr>
            </w:pPr>
            <w:r w:rsidRPr="000F049D">
              <w:rPr>
                <w:rFonts w:ascii="Times New Roman" w:eastAsia="Calibri" w:hAnsi="Times New Roman" w:cs="Times New Roman"/>
                <w:b/>
                <w:color w:val="000000"/>
                <w:sz w:val="16"/>
                <w:szCs w:val="16"/>
                <w:lang w:eastAsia="en-US"/>
              </w:rPr>
              <w:t>17 496,2</w:t>
            </w:r>
          </w:p>
        </w:tc>
        <w:tc>
          <w:tcPr>
            <w:tcW w:w="616" w:type="dxa"/>
            <w:gridSpan w:val="2"/>
            <w:shd w:val="clear" w:color="auto" w:fill="FFFFFF"/>
          </w:tcPr>
          <w:p w:rsidR="00030232" w:rsidRPr="000F049D" w:rsidRDefault="00030232" w:rsidP="000030E1">
            <w:pPr>
              <w:spacing w:after="0" w:line="240" w:lineRule="auto"/>
              <w:jc w:val="center"/>
              <w:rPr>
                <w:rFonts w:ascii="Times New Roman" w:eastAsia="Calibri" w:hAnsi="Times New Roman" w:cs="Times New Roman"/>
                <w:b/>
                <w:color w:val="000000"/>
                <w:sz w:val="16"/>
                <w:szCs w:val="16"/>
                <w:lang w:eastAsia="en-US"/>
              </w:rPr>
            </w:pPr>
            <w:r w:rsidRPr="000F049D">
              <w:rPr>
                <w:rFonts w:ascii="Times New Roman" w:eastAsia="Calibri" w:hAnsi="Times New Roman" w:cs="Times New Roman"/>
                <w:b/>
                <w:color w:val="000000"/>
                <w:sz w:val="16"/>
                <w:szCs w:val="16"/>
                <w:lang w:eastAsia="en-US"/>
              </w:rPr>
              <w:t>17 933,9</w:t>
            </w:r>
          </w:p>
        </w:tc>
        <w:tc>
          <w:tcPr>
            <w:tcW w:w="1575" w:type="dxa"/>
            <w:gridSpan w:val="2"/>
            <w:shd w:val="clear" w:color="auto" w:fill="FFFFFF"/>
          </w:tcPr>
          <w:p w:rsidR="00030232" w:rsidRPr="000F049D" w:rsidRDefault="00030232" w:rsidP="000030E1">
            <w:pPr>
              <w:spacing w:after="0" w:line="240" w:lineRule="auto"/>
              <w:jc w:val="center"/>
              <w:rPr>
                <w:rFonts w:ascii="Times New Roman" w:eastAsia="Calibri" w:hAnsi="Times New Roman" w:cs="Times New Roman"/>
                <w:b/>
                <w:color w:val="000000"/>
                <w:sz w:val="16"/>
                <w:szCs w:val="16"/>
                <w:lang w:eastAsia="en-US"/>
              </w:rPr>
            </w:pPr>
            <w:r w:rsidRPr="000F049D">
              <w:rPr>
                <w:rFonts w:ascii="Times New Roman" w:eastAsia="Calibri" w:hAnsi="Times New Roman" w:cs="Times New Roman"/>
                <w:b/>
                <w:color w:val="000000"/>
                <w:sz w:val="16"/>
                <w:szCs w:val="16"/>
                <w:lang w:eastAsia="en-US"/>
              </w:rPr>
              <w:t>108 358,9</w:t>
            </w:r>
          </w:p>
        </w:tc>
      </w:tr>
      <w:tr w:rsidR="00030232" w:rsidRPr="00385568" w:rsidTr="00030232">
        <w:trPr>
          <w:trHeight w:val="360"/>
        </w:trPr>
        <w:tc>
          <w:tcPr>
            <w:tcW w:w="1977" w:type="dxa"/>
            <w:gridSpan w:val="2"/>
            <w:shd w:val="clear" w:color="auto" w:fill="FFFFFF"/>
            <w:vAlign w:val="center"/>
          </w:tcPr>
          <w:p w:rsidR="00030232" w:rsidRPr="00DD79F7" w:rsidRDefault="00030232"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budżet państwa</w:t>
            </w:r>
          </w:p>
        </w:tc>
        <w:tc>
          <w:tcPr>
            <w:tcW w:w="709" w:type="dxa"/>
            <w:gridSpan w:val="2"/>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143,6</w:t>
            </w:r>
          </w:p>
        </w:tc>
        <w:tc>
          <w:tcPr>
            <w:tcW w:w="567" w:type="dxa"/>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564,3</w:t>
            </w:r>
          </w:p>
        </w:tc>
        <w:tc>
          <w:tcPr>
            <w:tcW w:w="709" w:type="dxa"/>
            <w:gridSpan w:val="3"/>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1 015,6</w:t>
            </w:r>
          </w:p>
        </w:tc>
        <w:tc>
          <w:tcPr>
            <w:tcW w:w="712" w:type="dxa"/>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7 652,9</w:t>
            </w:r>
          </w:p>
        </w:tc>
        <w:tc>
          <w:tcPr>
            <w:tcW w:w="708" w:type="dxa"/>
            <w:gridSpan w:val="3"/>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14 985,9</w:t>
            </w:r>
          </w:p>
        </w:tc>
        <w:tc>
          <w:tcPr>
            <w:tcW w:w="851" w:type="dxa"/>
            <w:gridSpan w:val="2"/>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15 570,5</w:t>
            </w:r>
          </w:p>
        </w:tc>
        <w:tc>
          <w:tcPr>
            <w:tcW w:w="709" w:type="dxa"/>
            <w:gridSpan w:val="3"/>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16 172,2</w:t>
            </w:r>
          </w:p>
        </w:tc>
        <w:tc>
          <w:tcPr>
            <w:tcW w:w="708" w:type="dxa"/>
            <w:gridSpan w:val="3"/>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16 823,9</w:t>
            </w:r>
          </w:p>
        </w:tc>
        <w:tc>
          <w:tcPr>
            <w:tcW w:w="851" w:type="dxa"/>
            <w:gridSpan w:val="2"/>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17 496,2</w:t>
            </w:r>
          </w:p>
        </w:tc>
        <w:tc>
          <w:tcPr>
            <w:tcW w:w="616" w:type="dxa"/>
            <w:gridSpan w:val="2"/>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17 933,9</w:t>
            </w:r>
          </w:p>
        </w:tc>
        <w:tc>
          <w:tcPr>
            <w:tcW w:w="1575" w:type="dxa"/>
            <w:gridSpan w:val="2"/>
            <w:shd w:val="clear" w:color="auto" w:fill="FFFFFF"/>
          </w:tcPr>
          <w:p w:rsidR="00030232" w:rsidRPr="000030E1" w:rsidRDefault="00030232" w:rsidP="000030E1">
            <w:pPr>
              <w:spacing w:after="0" w:line="240" w:lineRule="auto"/>
              <w:jc w:val="center"/>
              <w:rPr>
                <w:rFonts w:ascii="Times New Roman" w:eastAsia="Calibri" w:hAnsi="Times New Roman" w:cs="Times New Roman"/>
                <w:color w:val="000000"/>
                <w:sz w:val="16"/>
                <w:szCs w:val="16"/>
                <w:lang w:eastAsia="en-US"/>
              </w:rPr>
            </w:pPr>
            <w:r w:rsidRPr="000030E1">
              <w:rPr>
                <w:rFonts w:ascii="Times New Roman" w:eastAsia="Calibri" w:hAnsi="Times New Roman" w:cs="Times New Roman"/>
                <w:color w:val="000000"/>
                <w:sz w:val="16"/>
                <w:szCs w:val="16"/>
                <w:lang w:eastAsia="en-US"/>
              </w:rPr>
              <w:t>108 358,9</w:t>
            </w:r>
          </w:p>
        </w:tc>
      </w:tr>
      <w:tr w:rsidR="00030232" w:rsidRPr="00385568" w:rsidTr="00030232">
        <w:trPr>
          <w:trHeight w:val="357"/>
        </w:trPr>
        <w:tc>
          <w:tcPr>
            <w:tcW w:w="1977" w:type="dxa"/>
            <w:gridSpan w:val="2"/>
            <w:shd w:val="clear" w:color="auto" w:fill="FFFFFF"/>
            <w:vAlign w:val="center"/>
          </w:tcPr>
          <w:p w:rsidR="00030232" w:rsidRPr="00DD79F7" w:rsidRDefault="00030232"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JST</w:t>
            </w:r>
          </w:p>
        </w:tc>
        <w:tc>
          <w:tcPr>
            <w:tcW w:w="709"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567" w:type="dxa"/>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9"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12" w:type="dxa"/>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8"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851"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9"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8"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851"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616"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1575"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0</w:t>
            </w:r>
          </w:p>
        </w:tc>
      </w:tr>
      <w:tr w:rsidR="00030232" w:rsidRPr="00385568" w:rsidTr="00030232">
        <w:trPr>
          <w:trHeight w:val="357"/>
        </w:trPr>
        <w:tc>
          <w:tcPr>
            <w:tcW w:w="1977" w:type="dxa"/>
            <w:gridSpan w:val="2"/>
            <w:shd w:val="clear" w:color="auto" w:fill="FFFFFF"/>
            <w:vAlign w:val="center"/>
          </w:tcPr>
          <w:p w:rsidR="00030232" w:rsidRPr="00DD79F7" w:rsidRDefault="00030232"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pozostałe jednostki (oddzielnie)</w:t>
            </w:r>
          </w:p>
        </w:tc>
        <w:tc>
          <w:tcPr>
            <w:tcW w:w="709"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567" w:type="dxa"/>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9"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12" w:type="dxa"/>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8"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851"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9"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708" w:type="dxa"/>
            <w:gridSpan w:val="3"/>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851"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616"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p>
        </w:tc>
        <w:tc>
          <w:tcPr>
            <w:tcW w:w="1575" w:type="dxa"/>
            <w:gridSpan w:val="2"/>
            <w:shd w:val="clear" w:color="auto" w:fill="FFFFFF"/>
          </w:tcPr>
          <w:p w:rsidR="00030232" w:rsidRPr="00385568" w:rsidRDefault="00030232" w:rsidP="000030E1">
            <w:pPr>
              <w:spacing w:after="0" w:line="240" w:lineRule="auto"/>
              <w:jc w:val="center"/>
              <w:rPr>
                <w:rFonts w:ascii="Times New Roman" w:eastAsia="Calibri" w:hAnsi="Times New Roman" w:cs="Times New Roman"/>
                <w:color w:val="000000"/>
                <w:sz w:val="16"/>
                <w:szCs w:val="16"/>
                <w:lang w:eastAsia="en-US"/>
              </w:rPr>
            </w:pPr>
            <w:r>
              <w:rPr>
                <w:rFonts w:ascii="Times New Roman" w:eastAsia="Calibri" w:hAnsi="Times New Roman" w:cs="Times New Roman"/>
                <w:color w:val="000000"/>
                <w:sz w:val="16"/>
                <w:szCs w:val="16"/>
                <w:lang w:eastAsia="en-US"/>
              </w:rPr>
              <w:t>0</w:t>
            </w:r>
          </w:p>
        </w:tc>
      </w:tr>
      <w:tr w:rsidR="000030E1" w:rsidRPr="00385568" w:rsidTr="00030232">
        <w:trPr>
          <w:trHeight w:val="348"/>
        </w:trPr>
        <w:tc>
          <w:tcPr>
            <w:tcW w:w="1977" w:type="dxa"/>
            <w:gridSpan w:val="2"/>
            <w:shd w:val="clear" w:color="auto" w:fill="FFFFFF"/>
            <w:vAlign w:val="center"/>
          </w:tcPr>
          <w:p w:rsidR="000030E1" w:rsidRPr="00DD79F7" w:rsidRDefault="000030E1"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 xml:space="preserve">Źródła finansowania </w:t>
            </w:r>
          </w:p>
        </w:tc>
        <w:tc>
          <w:tcPr>
            <w:tcW w:w="8715" w:type="dxa"/>
            <w:gridSpan w:val="24"/>
            <w:shd w:val="clear" w:color="auto" w:fill="FFFFFF"/>
            <w:vAlign w:val="center"/>
          </w:tcPr>
          <w:p w:rsidR="000030E1" w:rsidRPr="008C49C4" w:rsidRDefault="00872237" w:rsidP="00846A1B">
            <w:pPr>
              <w:spacing w:after="0" w:line="240" w:lineRule="auto"/>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Samodzielnie projektowane rozporządzenie nie będzie miało wpływu na wydatki sektora finansów publicznych. </w:t>
            </w:r>
            <w:r w:rsidR="000030E1" w:rsidRPr="008C49C4">
              <w:rPr>
                <w:rFonts w:ascii="Times New Roman" w:eastAsia="Calibri" w:hAnsi="Times New Roman" w:cs="Times New Roman"/>
                <w:color w:val="000000"/>
                <w:lang w:eastAsia="en-US"/>
              </w:rPr>
              <w:t xml:space="preserve">Projektowane rozwiązania </w:t>
            </w:r>
            <w:r>
              <w:rPr>
                <w:rFonts w:ascii="Times New Roman" w:eastAsia="Calibri" w:hAnsi="Times New Roman" w:cs="Times New Roman"/>
                <w:color w:val="000000"/>
                <w:lang w:eastAsia="en-US"/>
              </w:rPr>
              <w:t xml:space="preserve">(ustaw i rozporządzenie) </w:t>
            </w:r>
            <w:r w:rsidR="000030E1" w:rsidRPr="008C49C4">
              <w:rPr>
                <w:rFonts w:ascii="Times New Roman" w:eastAsia="Calibri" w:hAnsi="Times New Roman" w:cs="Times New Roman"/>
                <w:color w:val="000000"/>
                <w:lang w:eastAsia="en-US"/>
              </w:rPr>
              <w:t xml:space="preserve">będą miały wpływ na wydatki sektora finansów publicznych </w:t>
            </w:r>
            <w:r w:rsidR="000030E1">
              <w:rPr>
                <w:rFonts w:ascii="Times New Roman" w:eastAsia="Calibri" w:hAnsi="Times New Roman" w:cs="Times New Roman"/>
                <w:color w:val="000000"/>
                <w:lang w:eastAsia="en-US"/>
              </w:rPr>
              <w:t xml:space="preserve">głównie w latach 2017-2018 </w:t>
            </w:r>
            <w:r w:rsidR="000030E1" w:rsidRPr="008C49C4">
              <w:rPr>
                <w:rFonts w:ascii="Times New Roman" w:eastAsia="Calibri" w:hAnsi="Times New Roman" w:cs="Times New Roman"/>
                <w:color w:val="000000"/>
                <w:lang w:eastAsia="en-US"/>
              </w:rPr>
              <w:t>w obszarze przeszkolenia funkcjonariuszy, zakupu dodatkowych radiowozów dla mobilnych jednostek, zakupu przenośnych urządzeń te</w:t>
            </w:r>
            <w:r w:rsidR="000030E1">
              <w:rPr>
                <w:rFonts w:ascii="Times New Roman" w:eastAsia="Calibri" w:hAnsi="Times New Roman" w:cs="Times New Roman"/>
                <w:color w:val="000000"/>
                <w:lang w:eastAsia="en-US"/>
              </w:rPr>
              <w:t>stowych</w:t>
            </w:r>
            <w:r w:rsidR="006545EE">
              <w:rPr>
                <w:rFonts w:ascii="Times New Roman" w:eastAsia="Calibri" w:hAnsi="Times New Roman" w:cs="Times New Roman"/>
                <w:color w:val="000000"/>
                <w:lang w:eastAsia="en-US"/>
              </w:rPr>
              <w:t>, mobilnych laboratoriów</w:t>
            </w:r>
            <w:r w:rsidR="000030E1">
              <w:rPr>
                <w:rFonts w:ascii="Times New Roman" w:eastAsia="Calibri" w:hAnsi="Times New Roman" w:cs="Times New Roman"/>
                <w:color w:val="000000"/>
                <w:lang w:eastAsia="en-US"/>
              </w:rPr>
              <w:t>. Dodatkowe zakupy inwestycyjne podzielono na 2 lat</w:t>
            </w:r>
            <w:r w:rsidR="00D034C1">
              <w:rPr>
                <w:rFonts w:ascii="Times New Roman" w:eastAsia="Calibri" w:hAnsi="Times New Roman" w:cs="Times New Roman"/>
                <w:color w:val="000000"/>
                <w:lang w:eastAsia="en-US"/>
              </w:rPr>
              <w:t>a</w:t>
            </w:r>
            <w:r w:rsidR="000030E1">
              <w:rPr>
                <w:rFonts w:ascii="Times New Roman" w:eastAsia="Calibri" w:hAnsi="Times New Roman" w:cs="Times New Roman"/>
                <w:color w:val="000000"/>
                <w:lang w:eastAsia="en-US"/>
              </w:rPr>
              <w:t>, główne obciążenie przenosząc do ustawy budżetowej 2018. Stałą pozycję z</w:t>
            </w:r>
            <w:r w:rsidR="00846A1B">
              <w:rPr>
                <w:rFonts w:ascii="Times New Roman" w:eastAsia="Calibri" w:hAnsi="Times New Roman" w:cs="Times New Roman"/>
                <w:color w:val="000000"/>
                <w:lang w:eastAsia="en-US"/>
              </w:rPr>
              <w:t> </w:t>
            </w:r>
            <w:r w:rsidR="000030E1">
              <w:rPr>
                <w:rFonts w:ascii="Times New Roman" w:eastAsia="Calibri" w:hAnsi="Times New Roman" w:cs="Times New Roman"/>
                <w:color w:val="000000"/>
                <w:lang w:eastAsia="en-US"/>
              </w:rPr>
              <w:t>tendencją do spadku mogą stanowić koszty</w:t>
            </w:r>
            <w:r w:rsidR="000030E1" w:rsidRPr="008C49C4">
              <w:rPr>
                <w:rFonts w:ascii="Times New Roman" w:eastAsia="Calibri" w:hAnsi="Times New Roman" w:cs="Times New Roman"/>
                <w:color w:val="000000"/>
                <w:lang w:eastAsia="en-US"/>
              </w:rPr>
              <w:t xml:space="preserve"> wykonywania standardowych badań laboratoryjnych. </w:t>
            </w:r>
            <w:r w:rsidR="000030E1">
              <w:rPr>
                <w:rFonts w:ascii="Times New Roman" w:eastAsia="Calibri" w:hAnsi="Times New Roman" w:cs="Times New Roman"/>
                <w:color w:val="000000"/>
                <w:lang w:eastAsia="en-US"/>
              </w:rPr>
              <w:t xml:space="preserve">Potencjalny spadek tych kosztów umożliwią mobilne laboratoria. </w:t>
            </w:r>
            <w:r w:rsidR="00D034C1" w:rsidRPr="00D034C1">
              <w:rPr>
                <w:rFonts w:ascii="Times New Roman" w:eastAsia="Calibri" w:hAnsi="Times New Roman" w:cs="Times New Roman"/>
                <w:color w:val="000000"/>
                <w:lang w:eastAsia="en-US"/>
              </w:rPr>
              <w:t>Środki na realizację ustawowych zadań winny pochodzić z</w:t>
            </w:r>
            <w:r w:rsidR="00807924">
              <w:rPr>
                <w:rFonts w:ascii="Times New Roman" w:eastAsia="Calibri" w:hAnsi="Times New Roman" w:cs="Times New Roman"/>
                <w:color w:val="000000"/>
                <w:lang w:eastAsia="en-US"/>
              </w:rPr>
              <w:t> </w:t>
            </w:r>
            <w:r w:rsidR="00D034C1" w:rsidRPr="00D034C1">
              <w:rPr>
                <w:rFonts w:ascii="Times New Roman" w:eastAsia="Calibri" w:hAnsi="Times New Roman" w:cs="Times New Roman"/>
                <w:color w:val="000000"/>
                <w:lang w:eastAsia="en-US"/>
              </w:rPr>
              <w:t>budżetu części 19 – Budżet, finanse publiczne i</w:t>
            </w:r>
            <w:r w:rsidR="00846A1B">
              <w:rPr>
                <w:rFonts w:ascii="Times New Roman" w:eastAsia="Calibri" w:hAnsi="Times New Roman" w:cs="Times New Roman"/>
                <w:color w:val="000000"/>
                <w:lang w:eastAsia="en-US"/>
              </w:rPr>
              <w:t> </w:t>
            </w:r>
            <w:r w:rsidR="00D034C1" w:rsidRPr="00D034C1">
              <w:rPr>
                <w:rFonts w:ascii="Times New Roman" w:eastAsia="Calibri" w:hAnsi="Times New Roman" w:cs="Times New Roman"/>
                <w:color w:val="000000"/>
                <w:lang w:eastAsia="en-US"/>
              </w:rPr>
              <w:t>instytucje finansowe.</w:t>
            </w:r>
          </w:p>
        </w:tc>
      </w:tr>
      <w:tr w:rsidR="000030E1" w:rsidRPr="00385568" w:rsidTr="00030232">
        <w:trPr>
          <w:trHeight w:val="1367"/>
        </w:trPr>
        <w:tc>
          <w:tcPr>
            <w:tcW w:w="1977" w:type="dxa"/>
            <w:gridSpan w:val="2"/>
            <w:shd w:val="clear" w:color="auto" w:fill="FFFFFF"/>
          </w:tcPr>
          <w:p w:rsidR="000030E1" w:rsidRPr="008017B8" w:rsidRDefault="000030E1" w:rsidP="000030E1">
            <w:pPr>
              <w:spacing w:before="120" w:after="120" w:line="240" w:lineRule="auto"/>
              <w:rPr>
                <w:rFonts w:ascii="Times New Roman" w:eastAsia="Calibri" w:hAnsi="Times New Roman" w:cs="Times New Roman"/>
                <w:color w:val="000000"/>
                <w:highlight w:val="yellow"/>
                <w:lang w:eastAsia="en-US"/>
              </w:rPr>
            </w:pPr>
            <w:r w:rsidRPr="00B803C2">
              <w:rPr>
                <w:rFonts w:ascii="Times New Roman" w:eastAsia="Calibri" w:hAnsi="Times New Roman" w:cs="Times New Roman"/>
                <w:color w:val="000000"/>
                <w:lang w:eastAsia="en-US"/>
              </w:rPr>
              <w:t>Dodatkowe informacje, w tym wskazanie źródeł danych i przyjętych do obliczeń założeń</w:t>
            </w:r>
          </w:p>
        </w:tc>
        <w:tc>
          <w:tcPr>
            <w:tcW w:w="8715" w:type="dxa"/>
            <w:gridSpan w:val="24"/>
            <w:shd w:val="clear" w:color="auto" w:fill="FFFFFF"/>
            <w:vAlign w:val="center"/>
          </w:tcPr>
          <w:p w:rsidR="00811898" w:rsidRPr="00DD79F7" w:rsidRDefault="0054691C" w:rsidP="00807924">
            <w:pPr>
              <w:spacing w:after="0" w:line="240" w:lineRule="auto"/>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Szacowany </w:t>
            </w:r>
            <w:r w:rsidR="00BF79C1">
              <w:rPr>
                <w:rFonts w:ascii="Times New Roman" w:eastAsia="Calibri" w:hAnsi="Times New Roman" w:cs="Times New Roman"/>
                <w:color w:val="000000"/>
                <w:lang w:eastAsia="en-US"/>
              </w:rPr>
              <w:t xml:space="preserve">dodatkowy dochód budżetu </w:t>
            </w:r>
            <w:r w:rsidR="00462D00">
              <w:rPr>
                <w:rFonts w:ascii="Times New Roman" w:eastAsia="Calibri" w:hAnsi="Times New Roman" w:cs="Times New Roman"/>
                <w:color w:val="000000"/>
                <w:lang w:eastAsia="en-US"/>
              </w:rPr>
              <w:t>P</w:t>
            </w:r>
            <w:r w:rsidR="00BF79C1">
              <w:rPr>
                <w:rFonts w:ascii="Times New Roman" w:eastAsia="Calibri" w:hAnsi="Times New Roman" w:cs="Times New Roman"/>
                <w:color w:val="000000"/>
                <w:lang w:eastAsia="en-US"/>
              </w:rPr>
              <w:t>aństwa wynikający z</w:t>
            </w:r>
            <w:r w:rsidR="00462D00">
              <w:rPr>
                <w:rFonts w:ascii="Times New Roman" w:eastAsia="Calibri" w:hAnsi="Times New Roman" w:cs="Times New Roman"/>
                <w:color w:val="000000"/>
                <w:lang w:eastAsia="en-US"/>
              </w:rPr>
              <w:t> </w:t>
            </w:r>
            <w:r w:rsidR="007342CC">
              <w:rPr>
                <w:rFonts w:ascii="Times New Roman" w:eastAsia="Calibri" w:hAnsi="Times New Roman" w:cs="Times New Roman"/>
                <w:color w:val="000000"/>
                <w:lang w:eastAsia="en-US"/>
              </w:rPr>
              <w:t>wprowadzanych</w:t>
            </w:r>
            <w:r w:rsidR="00BF79C1">
              <w:rPr>
                <w:rFonts w:ascii="Times New Roman" w:eastAsia="Calibri" w:hAnsi="Times New Roman" w:cs="Times New Roman"/>
                <w:color w:val="000000"/>
                <w:lang w:eastAsia="en-US"/>
              </w:rPr>
              <w:t xml:space="preserve"> regulacji wyniesie ok. </w:t>
            </w:r>
            <w:r w:rsidRPr="0054691C">
              <w:rPr>
                <w:rFonts w:ascii="Times New Roman" w:eastAsia="Calibri" w:hAnsi="Times New Roman" w:cs="Times New Roman"/>
                <w:color w:val="000000"/>
                <w:lang w:eastAsia="en-US"/>
              </w:rPr>
              <w:t>143,6</w:t>
            </w:r>
            <w:r>
              <w:rPr>
                <w:rFonts w:ascii="Times New Roman" w:eastAsia="Calibri" w:hAnsi="Times New Roman" w:cs="Times New Roman"/>
                <w:color w:val="000000"/>
                <w:lang w:eastAsia="en-US"/>
              </w:rPr>
              <w:t xml:space="preserve"> mln zł w </w:t>
            </w:r>
            <w:r w:rsidR="007A733C">
              <w:rPr>
                <w:rFonts w:ascii="Times New Roman" w:eastAsia="Calibri" w:hAnsi="Times New Roman" w:cs="Times New Roman"/>
                <w:color w:val="000000"/>
                <w:lang w:eastAsia="en-US"/>
              </w:rPr>
              <w:t>roku 2017.</w:t>
            </w:r>
          </w:p>
        </w:tc>
      </w:tr>
      <w:tr w:rsidR="000030E1" w:rsidRPr="00385568" w:rsidTr="00030232">
        <w:trPr>
          <w:trHeight w:val="345"/>
        </w:trPr>
        <w:tc>
          <w:tcPr>
            <w:tcW w:w="10692" w:type="dxa"/>
            <w:gridSpan w:val="26"/>
            <w:shd w:val="clear" w:color="auto" w:fill="99CCFF"/>
          </w:tcPr>
          <w:p w:rsidR="000030E1" w:rsidRPr="00DD79F7" w:rsidRDefault="000030E1" w:rsidP="000030E1">
            <w:pPr>
              <w:numPr>
                <w:ilvl w:val="0"/>
                <w:numId w:val="9"/>
              </w:numPr>
              <w:spacing w:before="120" w:after="120" w:line="240" w:lineRule="auto"/>
              <w:jc w:val="both"/>
              <w:rPr>
                <w:rFonts w:ascii="Times New Roman" w:eastAsia="Calibri" w:hAnsi="Times New Roman" w:cs="Times New Roman"/>
                <w:b/>
                <w:color w:val="000000"/>
                <w:spacing w:val="-2"/>
                <w:lang w:eastAsia="en-US"/>
              </w:rPr>
            </w:pPr>
            <w:r w:rsidRPr="00DD79F7">
              <w:rPr>
                <w:rFonts w:ascii="Times New Roman" w:eastAsia="Calibri" w:hAnsi="Times New Roman" w:cs="Times New Roman"/>
                <w:b/>
                <w:color w:val="000000"/>
                <w:spacing w:val="-2"/>
                <w:lang w:eastAsia="en-US"/>
              </w:rPr>
              <w:t xml:space="preserve">Wpływ na </w:t>
            </w:r>
            <w:r w:rsidRPr="00DD79F7">
              <w:rPr>
                <w:rFonts w:ascii="Times New Roman" w:eastAsia="Calibri" w:hAnsi="Times New Roman" w:cs="Times New Roman"/>
                <w:b/>
                <w:color w:val="000000"/>
                <w:lang w:eastAsia="en-US"/>
              </w:rPr>
              <w:t xml:space="preserve">konkurencyjność gospodarki i przedsiębiorczość, w tym funkcjonowanie przedsiębiorców oraz na rodzinę, obywateli i gospodarstwa domowe </w:t>
            </w:r>
          </w:p>
        </w:tc>
      </w:tr>
      <w:tr w:rsidR="000030E1" w:rsidRPr="00385568" w:rsidTr="00030232">
        <w:trPr>
          <w:trHeight w:val="142"/>
        </w:trPr>
        <w:tc>
          <w:tcPr>
            <w:tcW w:w="10692" w:type="dxa"/>
            <w:gridSpan w:val="26"/>
            <w:shd w:val="clear" w:color="auto" w:fill="FFFFFF"/>
          </w:tcPr>
          <w:p w:rsidR="000030E1" w:rsidRPr="00DD79F7" w:rsidRDefault="000030E1" w:rsidP="000030E1">
            <w:pPr>
              <w:spacing w:after="0" w:line="240" w:lineRule="auto"/>
              <w:jc w:val="center"/>
              <w:rPr>
                <w:rFonts w:ascii="Times New Roman" w:eastAsia="Calibri" w:hAnsi="Times New Roman" w:cs="Times New Roman"/>
                <w:color w:val="000000"/>
                <w:spacing w:val="-2"/>
                <w:lang w:eastAsia="en-US"/>
              </w:rPr>
            </w:pPr>
            <w:r w:rsidRPr="00DD79F7">
              <w:rPr>
                <w:rFonts w:ascii="Times New Roman" w:eastAsia="Calibri" w:hAnsi="Times New Roman" w:cs="Times New Roman"/>
                <w:color w:val="000000"/>
                <w:spacing w:val="-2"/>
                <w:lang w:eastAsia="en-US"/>
              </w:rPr>
              <w:t>Skutki</w:t>
            </w:r>
          </w:p>
        </w:tc>
      </w:tr>
      <w:tr w:rsidR="000030E1" w:rsidRPr="00385568" w:rsidTr="00807924">
        <w:trPr>
          <w:trHeight w:val="142"/>
        </w:trPr>
        <w:tc>
          <w:tcPr>
            <w:tcW w:w="3886" w:type="dxa"/>
            <w:gridSpan w:val="7"/>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Czas w latach od wejścia w życie zmian</w:t>
            </w:r>
          </w:p>
        </w:tc>
        <w:tc>
          <w:tcPr>
            <w:tcW w:w="787" w:type="dxa"/>
            <w:gridSpan w:val="2"/>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r w:rsidRPr="00385568">
              <w:rPr>
                <w:rFonts w:ascii="Times New Roman" w:eastAsia="Calibri" w:hAnsi="Times New Roman" w:cs="Times New Roman"/>
                <w:color w:val="000000"/>
                <w:sz w:val="21"/>
                <w:szCs w:val="21"/>
                <w:lang w:eastAsia="en-US"/>
              </w:rPr>
              <w:t>0</w:t>
            </w:r>
          </w:p>
        </w:tc>
        <w:tc>
          <w:tcPr>
            <w:tcW w:w="1088" w:type="dxa"/>
            <w:gridSpan w:val="4"/>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r w:rsidRPr="00385568">
              <w:rPr>
                <w:rFonts w:ascii="Times New Roman" w:eastAsia="Calibri" w:hAnsi="Times New Roman" w:cs="Times New Roman"/>
                <w:color w:val="000000"/>
                <w:sz w:val="21"/>
                <w:szCs w:val="21"/>
                <w:lang w:eastAsia="en-US"/>
              </w:rPr>
              <w:t>1</w:t>
            </w:r>
          </w:p>
        </w:tc>
        <w:tc>
          <w:tcPr>
            <w:tcW w:w="938" w:type="dxa"/>
            <w:gridSpan w:val="3"/>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r w:rsidRPr="00385568">
              <w:rPr>
                <w:rFonts w:ascii="Times New Roman" w:eastAsia="Calibri" w:hAnsi="Times New Roman" w:cs="Times New Roman"/>
                <w:color w:val="000000"/>
                <w:sz w:val="21"/>
                <w:szCs w:val="21"/>
                <w:lang w:eastAsia="en-US"/>
              </w:rPr>
              <w:t>2</w:t>
            </w:r>
          </w:p>
        </w:tc>
        <w:tc>
          <w:tcPr>
            <w:tcW w:w="937" w:type="dxa"/>
            <w:gridSpan w:val="3"/>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r w:rsidRPr="00385568">
              <w:rPr>
                <w:rFonts w:ascii="Times New Roman" w:eastAsia="Calibri" w:hAnsi="Times New Roman" w:cs="Times New Roman"/>
                <w:color w:val="000000"/>
                <w:sz w:val="21"/>
                <w:szCs w:val="21"/>
                <w:lang w:eastAsia="en-US"/>
              </w:rPr>
              <w:t>3</w:t>
            </w:r>
          </w:p>
        </w:tc>
        <w:tc>
          <w:tcPr>
            <w:tcW w:w="938" w:type="dxa"/>
            <w:gridSpan w:val="4"/>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r w:rsidRPr="00385568">
              <w:rPr>
                <w:rFonts w:ascii="Times New Roman" w:eastAsia="Calibri" w:hAnsi="Times New Roman" w:cs="Times New Roman"/>
                <w:color w:val="000000"/>
                <w:sz w:val="21"/>
                <w:szCs w:val="21"/>
                <w:lang w:eastAsia="en-US"/>
              </w:rPr>
              <w:t>5</w:t>
            </w:r>
          </w:p>
        </w:tc>
        <w:tc>
          <w:tcPr>
            <w:tcW w:w="938" w:type="dxa"/>
            <w:gridSpan w:val="2"/>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r w:rsidRPr="00385568">
              <w:rPr>
                <w:rFonts w:ascii="Times New Roman" w:eastAsia="Calibri" w:hAnsi="Times New Roman" w:cs="Times New Roman"/>
                <w:color w:val="000000"/>
                <w:sz w:val="21"/>
                <w:szCs w:val="21"/>
                <w:lang w:eastAsia="en-US"/>
              </w:rPr>
              <w:t>10</w:t>
            </w:r>
          </w:p>
        </w:tc>
        <w:tc>
          <w:tcPr>
            <w:tcW w:w="1180" w:type="dxa"/>
            <w:shd w:val="clear" w:color="auto" w:fill="FFFFFF"/>
          </w:tcPr>
          <w:p w:rsidR="000030E1" w:rsidRPr="00385568" w:rsidRDefault="000030E1" w:rsidP="000030E1">
            <w:pPr>
              <w:spacing w:after="0" w:line="240" w:lineRule="auto"/>
              <w:jc w:val="center"/>
              <w:rPr>
                <w:rFonts w:ascii="Times New Roman" w:eastAsia="Calibri" w:hAnsi="Times New Roman" w:cs="Times New Roman"/>
                <w:i/>
                <w:color w:val="000000"/>
                <w:spacing w:val="-2"/>
                <w:sz w:val="21"/>
                <w:szCs w:val="21"/>
                <w:lang w:eastAsia="en-US"/>
              </w:rPr>
            </w:pPr>
            <w:r w:rsidRPr="00385568">
              <w:rPr>
                <w:rFonts w:ascii="Times New Roman" w:eastAsia="Calibri" w:hAnsi="Times New Roman" w:cs="Times New Roman"/>
                <w:i/>
                <w:color w:val="000000"/>
                <w:spacing w:val="-2"/>
                <w:sz w:val="21"/>
                <w:szCs w:val="21"/>
                <w:lang w:eastAsia="en-US"/>
              </w:rPr>
              <w:t>Łącznie</w:t>
            </w:r>
            <w:r w:rsidRPr="00385568" w:rsidDel="0073273A">
              <w:rPr>
                <w:rFonts w:ascii="Times New Roman" w:eastAsia="Calibri" w:hAnsi="Times New Roman" w:cs="Times New Roman"/>
                <w:i/>
                <w:color w:val="000000"/>
                <w:spacing w:val="-2"/>
                <w:sz w:val="21"/>
                <w:szCs w:val="21"/>
                <w:lang w:eastAsia="en-US"/>
              </w:rPr>
              <w:t xml:space="preserve"> </w:t>
            </w:r>
            <w:r w:rsidRPr="00385568">
              <w:rPr>
                <w:rFonts w:ascii="Times New Roman" w:eastAsia="Calibri" w:hAnsi="Times New Roman" w:cs="Times New Roman"/>
                <w:i/>
                <w:color w:val="000000"/>
                <w:spacing w:val="-2"/>
                <w:sz w:val="21"/>
                <w:szCs w:val="21"/>
                <w:lang w:eastAsia="en-US"/>
              </w:rPr>
              <w:t>(0-10)</w:t>
            </w:r>
          </w:p>
        </w:tc>
      </w:tr>
      <w:tr w:rsidR="000030E1" w:rsidRPr="00385568" w:rsidTr="00807924">
        <w:trPr>
          <w:trHeight w:val="142"/>
        </w:trPr>
        <w:tc>
          <w:tcPr>
            <w:tcW w:w="1594" w:type="dxa"/>
            <w:vMerge w:val="restart"/>
            <w:shd w:val="clear" w:color="auto" w:fill="FFFFFF"/>
          </w:tcPr>
          <w:p w:rsidR="000030E1" w:rsidRPr="00DD79F7" w:rsidRDefault="000030E1" w:rsidP="000030E1">
            <w:pPr>
              <w:spacing w:after="0"/>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W ujęciu pieniężnym</w:t>
            </w:r>
          </w:p>
          <w:p w:rsidR="000030E1" w:rsidRPr="00DD79F7" w:rsidRDefault="000030E1" w:rsidP="000030E1">
            <w:pPr>
              <w:spacing w:after="0"/>
              <w:rPr>
                <w:rFonts w:ascii="Times New Roman" w:eastAsia="Calibri" w:hAnsi="Times New Roman" w:cs="Times New Roman"/>
                <w:spacing w:val="-2"/>
                <w:lang w:eastAsia="en-US"/>
              </w:rPr>
            </w:pPr>
            <w:r w:rsidRPr="00DD79F7">
              <w:rPr>
                <w:rFonts w:ascii="Times New Roman" w:eastAsia="Calibri" w:hAnsi="Times New Roman" w:cs="Times New Roman"/>
                <w:spacing w:val="-2"/>
                <w:lang w:eastAsia="en-US"/>
              </w:rPr>
              <w:t xml:space="preserve">(w mln zł, </w:t>
            </w:r>
          </w:p>
          <w:p w:rsidR="000030E1" w:rsidRPr="00DD79F7" w:rsidRDefault="000030E1"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spacing w:val="-2"/>
                <w:lang w:eastAsia="en-US"/>
              </w:rPr>
              <w:lastRenderedPageBreak/>
              <w:t>ceny stałe z …… r.)</w:t>
            </w:r>
          </w:p>
        </w:tc>
        <w:tc>
          <w:tcPr>
            <w:tcW w:w="2292" w:type="dxa"/>
            <w:gridSpan w:val="6"/>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lastRenderedPageBreak/>
              <w:t>duże przedsiębiorstwa</w:t>
            </w:r>
          </w:p>
        </w:tc>
        <w:tc>
          <w:tcPr>
            <w:tcW w:w="787" w:type="dxa"/>
            <w:gridSpan w:val="2"/>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p>
        </w:tc>
        <w:tc>
          <w:tcPr>
            <w:tcW w:w="1088" w:type="dxa"/>
            <w:gridSpan w:val="4"/>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p>
        </w:tc>
        <w:tc>
          <w:tcPr>
            <w:tcW w:w="938" w:type="dxa"/>
            <w:gridSpan w:val="3"/>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p>
        </w:tc>
        <w:tc>
          <w:tcPr>
            <w:tcW w:w="937" w:type="dxa"/>
            <w:gridSpan w:val="3"/>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p>
        </w:tc>
        <w:tc>
          <w:tcPr>
            <w:tcW w:w="938" w:type="dxa"/>
            <w:gridSpan w:val="4"/>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p>
        </w:tc>
        <w:tc>
          <w:tcPr>
            <w:tcW w:w="938" w:type="dxa"/>
            <w:gridSpan w:val="2"/>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p>
        </w:tc>
        <w:tc>
          <w:tcPr>
            <w:tcW w:w="1180" w:type="dxa"/>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pacing w:val="-2"/>
                <w:sz w:val="21"/>
                <w:szCs w:val="21"/>
                <w:lang w:eastAsia="en-US"/>
              </w:rPr>
            </w:pPr>
            <w:r w:rsidRPr="00F13704">
              <w:rPr>
                <w:rFonts w:ascii="Times New Roman" w:eastAsia="Calibri" w:hAnsi="Times New Roman" w:cs="Times New Roman"/>
                <w:color w:val="000000"/>
                <w:spacing w:val="-2"/>
                <w:sz w:val="21"/>
                <w:szCs w:val="21"/>
                <w:lang w:eastAsia="en-US"/>
              </w:rPr>
              <w:t>Nie dotyczy</w:t>
            </w:r>
          </w:p>
        </w:tc>
      </w:tr>
      <w:tr w:rsidR="000030E1" w:rsidRPr="00385568" w:rsidTr="00807924">
        <w:trPr>
          <w:trHeight w:val="142"/>
        </w:trPr>
        <w:tc>
          <w:tcPr>
            <w:tcW w:w="1594" w:type="dxa"/>
            <w:vMerge/>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p>
        </w:tc>
        <w:tc>
          <w:tcPr>
            <w:tcW w:w="2292" w:type="dxa"/>
            <w:gridSpan w:val="6"/>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sektor mikro-, małych i średnich przedsiębiorstw</w:t>
            </w:r>
          </w:p>
        </w:tc>
        <w:tc>
          <w:tcPr>
            <w:tcW w:w="787" w:type="dxa"/>
            <w:gridSpan w:val="2"/>
            <w:shd w:val="clear" w:color="auto" w:fill="FFFFFF"/>
          </w:tcPr>
          <w:p w:rsidR="000030E1" w:rsidRPr="00385568" w:rsidRDefault="00900D6F" w:rsidP="000030E1">
            <w:pPr>
              <w:spacing w:after="0" w:line="240" w:lineRule="auto"/>
              <w:jc w:val="center"/>
              <w:rPr>
                <w:rFonts w:ascii="Times New Roman" w:eastAsia="Calibri" w:hAnsi="Times New Roman" w:cs="Times New Roman"/>
                <w:color w:val="000000"/>
                <w:sz w:val="21"/>
                <w:szCs w:val="21"/>
                <w:lang w:eastAsia="en-US"/>
              </w:rPr>
            </w:pPr>
            <w:r>
              <w:rPr>
                <w:rFonts w:ascii="Times New Roman" w:eastAsia="Calibri" w:hAnsi="Times New Roman" w:cs="Times New Roman"/>
                <w:color w:val="000000"/>
                <w:sz w:val="21"/>
                <w:szCs w:val="21"/>
                <w:lang w:eastAsia="en-US"/>
              </w:rPr>
              <w:t>15,15</w:t>
            </w:r>
          </w:p>
        </w:tc>
        <w:tc>
          <w:tcPr>
            <w:tcW w:w="1088" w:type="dxa"/>
            <w:gridSpan w:val="4"/>
            <w:shd w:val="clear" w:color="auto" w:fill="FFFFFF"/>
          </w:tcPr>
          <w:p w:rsidR="000030E1" w:rsidRPr="00385568" w:rsidRDefault="00900D6F" w:rsidP="000030E1">
            <w:pPr>
              <w:spacing w:after="0" w:line="240" w:lineRule="auto"/>
              <w:jc w:val="center"/>
              <w:rPr>
                <w:rFonts w:ascii="Times New Roman" w:eastAsia="Calibri" w:hAnsi="Times New Roman" w:cs="Times New Roman"/>
                <w:color w:val="000000"/>
                <w:sz w:val="21"/>
                <w:szCs w:val="21"/>
                <w:lang w:eastAsia="en-US"/>
              </w:rPr>
            </w:pPr>
            <w:r>
              <w:rPr>
                <w:rFonts w:ascii="Times New Roman" w:eastAsia="Calibri" w:hAnsi="Times New Roman" w:cs="Times New Roman"/>
                <w:color w:val="000000"/>
                <w:sz w:val="21"/>
                <w:szCs w:val="21"/>
                <w:lang w:eastAsia="en-US"/>
              </w:rPr>
              <w:t>5,05</w:t>
            </w:r>
          </w:p>
        </w:tc>
        <w:tc>
          <w:tcPr>
            <w:tcW w:w="938" w:type="dxa"/>
            <w:gridSpan w:val="3"/>
            <w:shd w:val="clear" w:color="auto" w:fill="FFFFFF"/>
          </w:tcPr>
          <w:p w:rsidR="000030E1" w:rsidRPr="00385568" w:rsidRDefault="00900D6F" w:rsidP="000030E1">
            <w:pPr>
              <w:spacing w:after="0" w:line="240" w:lineRule="auto"/>
              <w:jc w:val="center"/>
              <w:rPr>
                <w:rFonts w:ascii="Times New Roman" w:eastAsia="Calibri" w:hAnsi="Times New Roman" w:cs="Times New Roman"/>
                <w:color w:val="000000"/>
                <w:sz w:val="21"/>
                <w:szCs w:val="21"/>
                <w:lang w:eastAsia="en-US"/>
              </w:rPr>
            </w:pPr>
            <w:r>
              <w:rPr>
                <w:rFonts w:ascii="Times New Roman" w:eastAsia="Calibri" w:hAnsi="Times New Roman" w:cs="Times New Roman"/>
                <w:color w:val="000000"/>
                <w:sz w:val="21"/>
                <w:szCs w:val="21"/>
                <w:lang w:eastAsia="en-US"/>
              </w:rPr>
              <w:t>10,1</w:t>
            </w:r>
          </w:p>
        </w:tc>
        <w:tc>
          <w:tcPr>
            <w:tcW w:w="937" w:type="dxa"/>
            <w:gridSpan w:val="3"/>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p>
        </w:tc>
        <w:tc>
          <w:tcPr>
            <w:tcW w:w="938" w:type="dxa"/>
            <w:gridSpan w:val="4"/>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p>
        </w:tc>
        <w:tc>
          <w:tcPr>
            <w:tcW w:w="938" w:type="dxa"/>
            <w:gridSpan w:val="2"/>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p>
        </w:tc>
        <w:tc>
          <w:tcPr>
            <w:tcW w:w="1180" w:type="dxa"/>
            <w:shd w:val="clear" w:color="auto" w:fill="FFFFFF"/>
          </w:tcPr>
          <w:p w:rsidR="000030E1" w:rsidRPr="00385568" w:rsidRDefault="00900D6F" w:rsidP="000030E1">
            <w:pPr>
              <w:spacing w:after="0" w:line="240" w:lineRule="auto"/>
              <w:jc w:val="center"/>
              <w:rPr>
                <w:rFonts w:ascii="Times New Roman" w:eastAsia="Calibri" w:hAnsi="Times New Roman" w:cs="Times New Roman"/>
                <w:color w:val="000000"/>
                <w:spacing w:val="-2"/>
                <w:sz w:val="21"/>
                <w:szCs w:val="21"/>
                <w:lang w:eastAsia="en-US"/>
              </w:rPr>
            </w:pPr>
            <w:r>
              <w:rPr>
                <w:rFonts w:ascii="Times New Roman" w:eastAsia="Calibri" w:hAnsi="Times New Roman" w:cs="Times New Roman"/>
                <w:color w:val="000000"/>
                <w:spacing w:val="-2"/>
                <w:sz w:val="21"/>
                <w:szCs w:val="21"/>
                <w:lang w:eastAsia="en-US"/>
              </w:rPr>
              <w:t>30,3</w:t>
            </w:r>
            <w:bookmarkStart w:id="3" w:name="_GoBack"/>
            <w:bookmarkEnd w:id="3"/>
          </w:p>
        </w:tc>
      </w:tr>
      <w:tr w:rsidR="000030E1" w:rsidRPr="00385568" w:rsidTr="00807924">
        <w:trPr>
          <w:trHeight w:val="142"/>
        </w:trPr>
        <w:tc>
          <w:tcPr>
            <w:tcW w:w="1594" w:type="dxa"/>
            <w:vMerge/>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p>
        </w:tc>
        <w:tc>
          <w:tcPr>
            <w:tcW w:w="2292" w:type="dxa"/>
            <w:gridSpan w:val="6"/>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lang w:eastAsia="en-US"/>
              </w:rPr>
              <w:t>rodzina, obywatele oraz gospodarstwa domowe</w:t>
            </w:r>
          </w:p>
        </w:tc>
        <w:tc>
          <w:tcPr>
            <w:tcW w:w="787" w:type="dxa"/>
            <w:gridSpan w:val="2"/>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p>
        </w:tc>
        <w:tc>
          <w:tcPr>
            <w:tcW w:w="1088" w:type="dxa"/>
            <w:gridSpan w:val="4"/>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p>
        </w:tc>
        <w:tc>
          <w:tcPr>
            <w:tcW w:w="938" w:type="dxa"/>
            <w:gridSpan w:val="3"/>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p>
        </w:tc>
        <w:tc>
          <w:tcPr>
            <w:tcW w:w="937" w:type="dxa"/>
            <w:gridSpan w:val="3"/>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p>
        </w:tc>
        <w:tc>
          <w:tcPr>
            <w:tcW w:w="938" w:type="dxa"/>
            <w:gridSpan w:val="4"/>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p>
        </w:tc>
        <w:tc>
          <w:tcPr>
            <w:tcW w:w="938" w:type="dxa"/>
            <w:gridSpan w:val="2"/>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z w:val="21"/>
                <w:szCs w:val="21"/>
                <w:lang w:eastAsia="en-US"/>
              </w:rPr>
            </w:pPr>
          </w:p>
        </w:tc>
        <w:tc>
          <w:tcPr>
            <w:tcW w:w="1180" w:type="dxa"/>
            <w:shd w:val="clear" w:color="auto" w:fill="FFFFFF"/>
          </w:tcPr>
          <w:p w:rsidR="000030E1" w:rsidRPr="00385568" w:rsidRDefault="000030E1" w:rsidP="000030E1">
            <w:pPr>
              <w:spacing w:after="0" w:line="240" w:lineRule="auto"/>
              <w:jc w:val="center"/>
              <w:rPr>
                <w:rFonts w:ascii="Times New Roman" w:eastAsia="Calibri" w:hAnsi="Times New Roman" w:cs="Times New Roman"/>
                <w:color w:val="000000"/>
                <w:spacing w:val="-2"/>
                <w:sz w:val="21"/>
                <w:szCs w:val="21"/>
                <w:lang w:eastAsia="en-US"/>
              </w:rPr>
            </w:pPr>
            <w:r w:rsidRPr="00F13704">
              <w:rPr>
                <w:rFonts w:ascii="Times New Roman" w:eastAsia="Calibri" w:hAnsi="Times New Roman" w:cs="Times New Roman"/>
                <w:color w:val="000000"/>
                <w:spacing w:val="-2"/>
                <w:sz w:val="21"/>
                <w:szCs w:val="21"/>
                <w:lang w:eastAsia="en-US"/>
              </w:rPr>
              <w:t>Nie dotyczy</w:t>
            </w:r>
          </w:p>
        </w:tc>
      </w:tr>
      <w:tr w:rsidR="000030E1" w:rsidRPr="00385568" w:rsidTr="00030232">
        <w:trPr>
          <w:trHeight w:val="142"/>
        </w:trPr>
        <w:tc>
          <w:tcPr>
            <w:tcW w:w="1594" w:type="dxa"/>
            <w:vMerge w:val="restart"/>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W ujęciu niepieniężnym</w:t>
            </w:r>
          </w:p>
        </w:tc>
        <w:tc>
          <w:tcPr>
            <w:tcW w:w="2292" w:type="dxa"/>
            <w:gridSpan w:val="6"/>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duże przedsiębiorstwa</w:t>
            </w:r>
          </w:p>
        </w:tc>
        <w:tc>
          <w:tcPr>
            <w:tcW w:w="6806" w:type="dxa"/>
            <w:gridSpan w:val="19"/>
            <w:shd w:val="clear" w:color="auto" w:fill="FFFFFF"/>
          </w:tcPr>
          <w:p w:rsidR="000030E1" w:rsidRPr="004208F2" w:rsidRDefault="000030E1" w:rsidP="000030E1">
            <w:pPr>
              <w:spacing w:after="0" w:line="240" w:lineRule="auto"/>
              <w:jc w:val="center"/>
              <w:rPr>
                <w:rFonts w:ascii="Times New Roman" w:eastAsia="Calibri" w:hAnsi="Times New Roman" w:cs="Times New Roman"/>
                <w:spacing w:val="-2"/>
                <w:sz w:val="21"/>
                <w:szCs w:val="21"/>
                <w:lang w:eastAsia="en-US"/>
              </w:rPr>
            </w:pPr>
            <w:r w:rsidRPr="004208F2">
              <w:rPr>
                <w:rFonts w:ascii="Times New Roman" w:eastAsia="Calibri" w:hAnsi="Times New Roman" w:cs="Times New Roman"/>
                <w:spacing w:val="-2"/>
                <w:sz w:val="21"/>
                <w:szCs w:val="21"/>
                <w:lang w:eastAsia="en-US"/>
              </w:rPr>
              <w:t>Wyrównane warunki prowadzenia działalności w zakresie przewozów drogowych</w:t>
            </w:r>
            <w:r>
              <w:rPr>
                <w:rFonts w:ascii="Times New Roman" w:eastAsia="Calibri" w:hAnsi="Times New Roman" w:cs="Times New Roman"/>
                <w:spacing w:val="-2"/>
                <w:sz w:val="21"/>
                <w:szCs w:val="21"/>
                <w:lang w:eastAsia="en-US"/>
              </w:rPr>
              <w:t>, zahamowanie nieuczciwej konkurencji.</w:t>
            </w:r>
          </w:p>
        </w:tc>
      </w:tr>
      <w:tr w:rsidR="000030E1" w:rsidRPr="00385568" w:rsidTr="00030232">
        <w:trPr>
          <w:trHeight w:val="142"/>
        </w:trPr>
        <w:tc>
          <w:tcPr>
            <w:tcW w:w="1594" w:type="dxa"/>
            <w:vMerge/>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p>
        </w:tc>
        <w:tc>
          <w:tcPr>
            <w:tcW w:w="2292" w:type="dxa"/>
            <w:gridSpan w:val="6"/>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sektor mikro-, małych i średnich przedsiębiorstw</w:t>
            </w:r>
          </w:p>
        </w:tc>
        <w:tc>
          <w:tcPr>
            <w:tcW w:w="6806" w:type="dxa"/>
            <w:gridSpan w:val="19"/>
            <w:shd w:val="clear" w:color="auto" w:fill="FFFFFF"/>
          </w:tcPr>
          <w:p w:rsidR="000030E1" w:rsidRPr="004208F2" w:rsidRDefault="000030E1" w:rsidP="000030E1">
            <w:pPr>
              <w:spacing w:after="0" w:line="240" w:lineRule="auto"/>
              <w:jc w:val="center"/>
              <w:rPr>
                <w:rFonts w:ascii="Times New Roman" w:eastAsia="Calibri" w:hAnsi="Times New Roman" w:cs="Times New Roman"/>
                <w:spacing w:val="-2"/>
                <w:sz w:val="21"/>
                <w:szCs w:val="21"/>
                <w:lang w:eastAsia="en-US"/>
              </w:rPr>
            </w:pPr>
            <w:r w:rsidRPr="004208F2">
              <w:rPr>
                <w:rFonts w:ascii="Times New Roman" w:eastAsia="Calibri" w:hAnsi="Times New Roman" w:cs="Times New Roman"/>
                <w:spacing w:val="-2"/>
                <w:sz w:val="21"/>
                <w:szCs w:val="21"/>
                <w:lang w:eastAsia="en-US"/>
              </w:rPr>
              <w:t>Wyrównane warunki prowadzenia działalności w zakresie przewozów drogowych, zahamowanie nieuczciwej konkurencji.</w:t>
            </w:r>
          </w:p>
        </w:tc>
      </w:tr>
      <w:tr w:rsidR="000030E1" w:rsidRPr="00385568" w:rsidTr="00030232">
        <w:trPr>
          <w:trHeight w:val="596"/>
        </w:trPr>
        <w:tc>
          <w:tcPr>
            <w:tcW w:w="1594" w:type="dxa"/>
            <w:vMerge/>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p>
        </w:tc>
        <w:tc>
          <w:tcPr>
            <w:tcW w:w="2292" w:type="dxa"/>
            <w:gridSpan w:val="6"/>
            <w:shd w:val="clear" w:color="auto" w:fill="FFFFFF"/>
          </w:tcPr>
          <w:p w:rsidR="000030E1" w:rsidRPr="00DD79F7" w:rsidRDefault="000030E1" w:rsidP="000030E1">
            <w:pPr>
              <w:tabs>
                <w:tab w:val="right" w:pos="1936"/>
              </w:tabs>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lang w:eastAsia="en-US"/>
              </w:rPr>
              <w:t>rodzina, obywatele oraz gospodarstwa domowe</w:t>
            </w:r>
            <w:r w:rsidRPr="00DD79F7">
              <w:rPr>
                <w:rFonts w:ascii="Times New Roman" w:eastAsia="Calibri" w:hAnsi="Times New Roman" w:cs="Times New Roman"/>
                <w:color w:val="000000"/>
                <w:lang w:eastAsia="en-US"/>
              </w:rPr>
              <w:t xml:space="preserve"> </w:t>
            </w:r>
          </w:p>
        </w:tc>
        <w:tc>
          <w:tcPr>
            <w:tcW w:w="6806" w:type="dxa"/>
            <w:gridSpan w:val="19"/>
            <w:shd w:val="clear" w:color="auto" w:fill="FFFFFF"/>
            <w:vAlign w:val="center"/>
          </w:tcPr>
          <w:p w:rsidR="000030E1" w:rsidRPr="005D7F83" w:rsidRDefault="000030E1" w:rsidP="000030E1">
            <w:pPr>
              <w:spacing w:after="0" w:line="240" w:lineRule="auto"/>
              <w:jc w:val="center"/>
              <w:rPr>
                <w:rFonts w:ascii="Times New Roman" w:eastAsia="Calibri" w:hAnsi="Times New Roman" w:cs="Times New Roman"/>
                <w:color w:val="000000"/>
                <w:spacing w:val="-2"/>
                <w:highlight w:val="yellow"/>
                <w:lang w:eastAsia="en-US"/>
              </w:rPr>
            </w:pPr>
            <w:r w:rsidRPr="001912D8">
              <w:rPr>
                <w:rFonts w:ascii="Times New Roman" w:eastAsia="Calibri" w:hAnsi="Times New Roman" w:cs="Times New Roman"/>
                <w:color w:val="000000"/>
                <w:spacing w:val="-2"/>
                <w:lang w:eastAsia="en-US"/>
              </w:rPr>
              <w:t>Nie dotyczy</w:t>
            </w:r>
          </w:p>
        </w:tc>
      </w:tr>
      <w:tr w:rsidR="000030E1" w:rsidRPr="00385568" w:rsidTr="00030232">
        <w:trPr>
          <w:trHeight w:val="142"/>
        </w:trPr>
        <w:tc>
          <w:tcPr>
            <w:tcW w:w="1594" w:type="dxa"/>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lang w:eastAsia="en-US"/>
              </w:rPr>
              <w:t>Niemierzalne</w:t>
            </w:r>
          </w:p>
        </w:tc>
        <w:tc>
          <w:tcPr>
            <w:tcW w:w="2292" w:type="dxa"/>
            <w:gridSpan w:val="6"/>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p>
        </w:tc>
        <w:tc>
          <w:tcPr>
            <w:tcW w:w="6806" w:type="dxa"/>
            <w:gridSpan w:val="19"/>
            <w:shd w:val="clear" w:color="auto" w:fill="FFFFFF"/>
          </w:tcPr>
          <w:p w:rsidR="000030E1" w:rsidRPr="005D7F83" w:rsidRDefault="000030E1" w:rsidP="000030E1">
            <w:pPr>
              <w:spacing w:after="0" w:line="240" w:lineRule="auto"/>
              <w:jc w:val="center"/>
              <w:rPr>
                <w:rFonts w:ascii="Times New Roman" w:eastAsia="Calibri" w:hAnsi="Times New Roman" w:cs="Times New Roman"/>
                <w:color w:val="000000"/>
                <w:spacing w:val="-2"/>
                <w:sz w:val="21"/>
                <w:szCs w:val="21"/>
                <w:highlight w:val="yellow"/>
                <w:lang w:eastAsia="en-US"/>
              </w:rPr>
            </w:pPr>
            <w:r w:rsidRPr="001912D8">
              <w:rPr>
                <w:rFonts w:ascii="Times New Roman" w:eastAsia="Calibri" w:hAnsi="Times New Roman" w:cs="Times New Roman"/>
                <w:color w:val="000000"/>
                <w:spacing w:val="-2"/>
                <w:sz w:val="21"/>
                <w:szCs w:val="21"/>
                <w:lang w:eastAsia="en-US"/>
              </w:rPr>
              <w:t>Nie dotyczy</w:t>
            </w:r>
          </w:p>
        </w:tc>
      </w:tr>
      <w:tr w:rsidR="000030E1" w:rsidRPr="00385568" w:rsidTr="00030232">
        <w:trPr>
          <w:trHeight w:val="1408"/>
        </w:trPr>
        <w:tc>
          <w:tcPr>
            <w:tcW w:w="1977" w:type="dxa"/>
            <w:gridSpan w:val="2"/>
            <w:shd w:val="clear" w:color="auto" w:fill="FFFFFF"/>
          </w:tcPr>
          <w:p w:rsidR="000030E1" w:rsidRPr="005D7F83" w:rsidRDefault="000030E1" w:rsidP="000030E1">
            <w:pPr>
              <w:spacing w:after="0" w:line="240" w:lineRule="auto"/>
              <w:rPr>
                <w:rFonts w:ascii="Times New Roman" w:eastAsia="Calibri" w:hAnsi="Times New Roman" w:cs="Times New Roman"/>
                <w:color w:val="000000"/>
                <w:highlight w:val="yellow"/>
                <w:lang w:eastAsia="en-US"/>
              </w:rPr>
            </w:pPr>
            <w:r w:rsidRPr="001C6FB5">
              <w:rPr>
                <w:rFonts w:ascii="Times New Roman" w:eastAsia="Calibri" w:hAnsi="Times New Roman" w:cs="Times New Roman"/>
                <w:color w:val="000000"/>
                <w:lang w:eastAsia="en-US"/>
              </w:rPr>
              <w:t xml:space="preserve">Dodatkowe informacje, w tym wskazanie źródeł danych i przyjętych do obliczeń założeń </w:t>
            </w:r>
          </w:p>
        </w:tc>
        <w:tc>
          <w:tcPr>
            <w:tcW w:w="8715" w:type="dxa"/>
            <w:gridSpan w:val="24"/>
            <w:shd w:val="clear" w:color="auto" w:fill="FFFFFF"/>
            <w:vAlign w:val="center"/>
          </w:tcPr>
          <w:p w:rsidR="000030E1" w:rsidRPr="00DD79F7" w:rsidRDefault="000030E1" w:rsidP="000030E1">
            <w:pPr>
              <w:spacing w:after="0" w:line="240" w:lineRule="auto"/>
              <w:jc w:val="both"/>
              <w:rPr>
                <w:rFonts w:ascii="Times New Roman" w:eastAsia="Calibri" w:hAnsi="Times New Roman" w:cs="Times New Roman"/>
                <w:color w:val="000000"/>
                <w:lang w:eastAsia="en-US"/>
              </w:rPr>
            </w:pPr>
          </w:p>
        </w:tc>
      </w:tr>
      <w:tr w:rsidR="000030E1" w:rsidRPr="00385568" w:rsidTr="00030232">
        <w:trPr>
          <w:trHeight w:val="342"/>
        </w:trPr>
        <w:tc>
          <w:tcPr>
            <w:tcW w:w="10692" w:type="dxa"/>
            <w:gridSpan w:val="26"/>
            <w:shd w:val="clear" w:color="auto" w:fill="99CCFF"/>
            <w:vAlign w:val="center"/>
          </w:tcPr>
          <w:p w:rsidR="000030E1" w:rsidRPr="00DD79F7" w:rsidRDefault="000030E1" w:rsidP="000030E1">
            <w:pPr>
              <w:numPr>
                <w:ilvl w:val="0"/>
                <w:numId w:val="9"/>
              </w:numPr>
              <w:spacing w:before="60" w:after="60" w:line="240" w:lineRule="auto"/>
              <w:ind w:left="318" w:hanging="284"/>
              <w:jc w:val="both"/>
              <w:rPr>
                <w:rFonts w:ascii="Times New Roman" w:eastAsia="Calibri" w:hAnsi="Times New Roman" w:cs="Times New Roman"/>
                <w:b/>
                <w:color w:val="000000"/>
                <w:lang w:eastAsia="en-US"/>
              </w:rPr>
            </w:pPr>
            <w:r w:rsidRPr="00DD79F7">
              <w:rPr>
                <w:rFonts w:ascii="Times New Roman" w:eastAsia="Calibri" w:hAnsi="Times New Roman" w:cs="Times New Roman"/>
                <w:b/>
                <w:color w:val="000000"/>
                <w:lang w:eastAsia="en-US"/>
              </w:rPr>
              <w:t xml:space="preserve"> Zmiana obciążeń regulacyjnych (w tym obowiązków informacyjnych) wynikających z projektu</w:t>
            </w:r>
          </w:p>
        </w:tc>
      </w:tr>
      <w:tr w:rsidR="000030E1" w:rsidRPr="00385568" w:rsidTr="00030232">
        <w:trPr>
          <w:trHeight w:val="151"/>
        </w:trPr>
        <w:tc>
          <w:tcPr>
            <w:tcW w:w="10692" w:type="dxa"/>
            <w:gridSpan w:val="26"/>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fldChar w:fldCharType="begin">
                <w:ffData>
                  <w:name w:val=""/>
                  <w:enabled/>
                  <w:calcOnExit w:val="0"/>
                  <w:checkBox>
                    <w:sizeAuto/>
                    <w:default w:val="0"/>
                  </w:checkBox>
                </w:ffData>
              </w:fldChar>
            </w:r>
            <w:r>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Pr>
                <w:rFonts w:ascii="Times New Roman" w:eastAsia="Calibri" w:hAnsi="Times New Roman" w:cs="Times New Roman"/>
                <w:color w:val="000000"/>
                <w:lang w:eastAsia="en-US"/>
              </w:rPr>
              <w:fldChar w:fldCharType="end"/>
            </w:r>
            <w:r w:rsidRPr="00DD79F7">
              <w:rPr>
                <w:rFonts w:ascii="Times New Roman" w:eastAsia="Calibri" w:hAnsi="Times New Roman" w:cs="Times New Roman"/>
                <w:color w:val="000000"/>
                <w:lang w:eastAsia="en-US"/>
              </w:rPr>
              <w:t xml:space="preserve"> </w:t>
            </w:r>
            <w:r w:rsidRPr="00DD79F7">
              <w:rPr>
                <w:rFonts w:ascii="Times New Roman" w:eastAsia="Calibri" w:hAnsi="Times New Roman" w:cs="Times New Roman"/>
                <w:color w:val="000000"/>
                <w:spacing w:val="-2"/>
                <w:lang w:eastAsia="en-US"/>
              </w:rPr>
              <w:t>nie dotyczy</w:t>
            </w:r>
          </w:p>
        </w:tc>
      </w:tr>
      <w:tr w:rsidR="000030E1" w:rsidRPr="00385568" w:rsidTr="00030232">
        <w:trPr>
          <w:trHeight w:val="946"/>
        </w:trPr>
        <w:tc>
          <w:tcPr>
            <w:tcW w:w="5108" w:type="dxa"/>
            <w:gridSpan w:val="11"/>
            <w:shd w:val="clear" w:color="auto" w:fill="FFFFFF"/>
          </w:tcPr>
          <w:p w:rsidR="000030E1" w:rsidRPr="00DD79F7" w:rsidRDefault="000030E1" w:rsidP="000030E1">
            <w:pPr>
              <w:spacing w:after="0"/>
              <w:rPr>
                <w:rFonts w:ascii="Times New Roman" w:eastAsia="Calibri" w:hAnsi="Times New Roman" w:cs="Times New Roman"/>
                <w:color w:val="000000"/>
                <w:spacing w:val="-2"/>
                <w:lang w:eastAsia="en-US"/>
              </w:rPr>
            </w:pPr>
            <w:r w:rsidRPr="00DD79F7">
              <w:rPr>
                <w:rFonts w:ascii="Times New Roman" w:eastAsia="Calibri" w:hAnsi="Times New Roman" w:cs="Times New Roman"/>
                <w:color w:val="000000"/>
                <w:spacing w:val="-2"/>
                <w:lang w:eastAsia="en-US"/>
              </w:rPr>
              <w:t xml:space="preserve">Wprowadzane są obciążenia poza bezwzględnie wymaganymi przez UE </w:t>
            </w:r>
            <w:r w:rsidRPr="00DD79F7">
              <w:rPr>
                <w:rFonts w:ascii="Times New Roman" w:eastAsia="Calibri" w:hAnsi="Times New Roman" w:cs="Times New Roman"/>
                <w:color w:val="000000"/>
                <w:lang w:eastAsia="en-US"/>
              </w:rPr>
              <w:t>(szczegóły w odwróconej tabeli zgodności).</w:t>
            </w:r>
          </w:p>
        </w:tc>
        <w:tc>
          <w:tcPr>
            <w:tcW w:w="5584" w:type="dxa"/>
            <w:gridSpan w:val="15"/>
            <w:shd w:val="clear" w:color="auto" w:fill="FFFFFF"/>
          </w:tcPr>
          <w:p w:rsidR="000030E1" w:rsidRPr="00385568" w:rsidRDefault="000030E1" w:rsidP="000030E1">
            <w:pPr>
              <w:spacing w:after="0" w:line="240" w:lineRule="auto"/>
              <w:rPr>
                <w:rFonts w:ascii="Times New Roman" w:eastAsia="Calibri" w:hAnsi="Times New Roman" w:cs="Times New Roman"/>
                <w:color w:val="000000"/>
                <w:lang w:eastAsia="en-US"/>
              </w:rPr>
            </w:pPr>
            <w:r w:rsidRPr="00385568">
              <w:rPr>
                <w:rFonts w:ascii="Times New Roman" w:eastAsia="Calibri" w:hAnsi="Times New Roman" w:cs="Times New Roman"/>
                <w:color w:val="000000"/>
                <w:lang w:eastAsia="en-US"/>
              </w:rPr>
              <w:fldChar w:fldCharType="begin">
                <w:ffData>
                  <w:name w:val="Wybór1"/>
                  <w:enabled/>
                  <w:calcOnExit w:val="0"/>
                  <w:checkBox>
                    <w:sizeAuto/>
                    <w:default w:val="0"/>
                  </w:checkBox>
                </w:ffData>
              </w:fldChar>
            </w:r>
            <w:r w:rsidRPr="00385568">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sidRPr="00385568">
              <w:rPr>
                <w:rFonts w:ascii="Times New Roman" w:eastAsia="Calibri" w:hAnsi="Times New Roman" w:cs="Times New Roman"/>
                <w:color w:val="000000"/>
                <w:lang w:eastAsia="en-US"/>
              </w:rPr>
              <w:fldChar w:fldCharType="end"/>
            </w:r>
            <w:r w:rsidRPr="00385568">
              <w:rPr>
                <w:rFonts w:ascii="Times New Roman" w:eastAsia="Calibri" w:hAnsi="Times New Roman" w:cs="Times New Roman"/>
                <w:color w:val="000000"/>
                <w:lang w:eastAsia="en-US"/>
              </w:rPr>
              <w:t xml:space="preserve"> tak</w:t>
            </w:r>
          </w:p>
          <w:p w:rsidR="000030E1" w:rsidRPr="00385568" w:rsidRDefault="000030E1" w:rsidP="000030E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fldChar w:fldCharType="begin">
                <w:ffData>
                  <w:name w:val=""/>
                  <w:enabled/>
                  <w:calcOnExit w:val="0"/>
                  <w:checkBox>
                    <w:sizeAuto/>
                    <w:default w:val="1"/>
                  </w:checkBox>
                </w:ffData>
              </w:fldChar>
            </w:r>
            <w:r>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Pr>
                <w:rFonts w:ascii="Times New Roman" w:eastAsia="Calibri" w:hAnsi="Times New Roman" w:cs="Times New Roman"/>
                <w:color w:val="000000"/>
                <w:lang w:eastAsia="en-US"/>
              </w:rPr>
              <w:fldChar w:fldCharType="end"/>
            </w:r>
            <w:r w:rsidRPr="00385568">
              <w:rPr>
                <w:rFonts w:ascii="Times New Roman" w:eastAsia="Calibri" w:hAnsi="Times New Roman" w:cs="Times New Roman"/>
                <w:color w:val="000000"/>
                <w:lang w:eastAsia="en-US"/>
              </w:rPr>
              <w:t xml:space="preserve"> nie</w:t>
            </w:r>
          </w:p>
          <w:p w:rsidR="000030E1" w:rsidRPr="00385568" w:rsidRDefault="000030E1" w:rsidP="000030E1">
            <w:pPr>
              <w:spacing w:after="0"/>
              <w:rPr>
                <w:rFonts w:ascii="Times New Roman" w:eastAsia="Calibri" w:hAnsi="Times New Roman" w:cs="Times New Roman"/>
                <w:color w:val="000000"/>
                <w:lang w:eastAsia="en-US"/>
              </w:rPr>
            </w:pPr>
            <w:r w:rsidRPr="00385568">
              <w:rPr>
                <w:rFonts w:ascii="Times New Roman" w:eastAsia="Calibri" w:hAnsi="Times New Roman" w:cs="Times New Roman"/>
                <w:color w:val="000000"/>
                <w:lang w:eastAsia="en-US"/>
              </w:rPr>
              <w:fldChar w:fldCharType="begin">
                <w:ffData>
                  <w:name w:val="Wybór1"/>
                  <w:enabled/>
                  <w:calcOnExit w:val="0"/>
                  <w:checkBox>
                    <w:sizeAuto/>
                    <w:default w:val="0"/>
                  </w:checkBox>
                </w:ffData>
              </w:fldChar>
            </w:r>
            <w:r w:rsidRPr="00385568">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sidRPr="00385568">
              <w:rPr>
                <w:rFonts w:ascii="Times New Roman" w:eastAsia="Calibri" w:hAnsi="Times New Roman" w:cs="Times New Roman"/>
                <w:color w:val="000000"/>
                <w:lang w:eastAsia="en-US"/>
              </w:rPr>
              <w:fldChar w:fldCharType="end"/>
            </w:r>
            <w:r w:rsidRPr="00385568">
              <w:rPr>
                <w:rFonts w:ascii="Times New Roman" w:eastAsia="Calibri" w:hAnsi="Times New Roman" w:cs="Times New Roman"/>
                <w:color w:val="000000"/>
                <w:lang w:eastAsia="en-US"/>
              </w:rPr>
              <w:t xml:space="preserve"> nie dotyczy</w:t>
            </w:r>
          </w:p>
        </w:tc>
      </w:tr>
      <w:tr w:rsidR="000030E1" w:rsidRPr="00385568" w:rsidTr="00030232">
        <w:trPr>
          <w:trHeight w:val="1245"/>
        </w:trPr>
        <w:tc>
          <w:tcPr>
            <w:tcW w:w="5108" w:type="dxa"/>
            <w:gridSpan w:val="11"/>
            <w:shd w:val="clear" w:color="auto" w:fill="FFFFFF"/>
          </w:tcPr>
          <w:p w:rsidR="000030E1" w:rsidRPr="00DD79F7" w:rsidRDefault="000030E1" w:rsidP="000030E1">
            <w:pPr>
              <w:spacing w:after="0" w:line="240" w:lineRule="auto"/>
              <w:rPr>
                <w:rFonts w:ascii="Times New Roman" w:eastAsia="Calibri" w:hAnsi="Times New Roman" w:cs="Times New Roman"/>
                <w:color w:val="000000"/>
                <w:spacing w:val="-2"/>
                <w:lang w:eastAsia="en-US"/>
              </w:rPr>
            </w:pPr>
            <w:r w:rsidRPr="00DD79F7">
              <w:rPr>
                <w:rFonts w:ascii="Times New Roman" w:eastAsia="Calibri" w:hAnsi="Times New Roman" w:cs="Times New Roman"/>
                <w:color w:val="000000"/>
                <w:lang w:eastAsia="en-US"/>
              </w:rPr>
              <w:fldChar w:fldCharType="begin">
                <w:ffData>
                  <w:name w:val=""/>
                  <w:enabled/>
                  <w:calcOnExit w:val="0"/>
                  <w:checkBox>
                    <w:sizeAuto/>
                    <w:default w:val="0"/>
                  </w:checkBox>
                </w:ffData>
              </w:fldChar>
            </w:r>
            <w:r w:rsidRPr="00DD79F7">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sidRPr="00DD79F7">
              <w:rPr>
                <w:rFonts w:ascii="Times New Roman" w:eastAsia="Calibri" w:hAnsi="Times New Roman" w:cs="Times New Roman"/>
                <w:color w:val="000000"/>
                <w:lang w:eastAsia="en-US"/>
              </w:rPr>
              <w:fldChar w:fldCharType="end"/>
            </w:r>
            <w:r w:rsidRPr="00DD79F7">
              <w:rPr>
                <w:rFonts w:ascii="Times New Roman" w:eastAsia="Calibri" w:hAnsi="Times New Roman" w:cs="Times New Roman"/>
                <w:color w:val="000000"/>
                <w:lang w:eastAsia="en-US"/>
              </w:rPr>
              <w:t xml:space="preserve"> </w:t>
            </w:r>
            <w:r w:rsidRPr="00DD79F7">
              <w:rPr>
                <w:rFonts w:ascii="Times New Roman" w:eastAsia="Calibri" w:hAnsi="Times New Roman" w:cs="Times New Roman"/>
                <w:color w:val="000000"/>
                <w:spacing w:val="-2"/>
                <w:lang w:eastAsia="en-US"/>
              </w:rPr>
              <w:t xml:space="preserve">zmniejszenie liczby dokumentów </w:t>
            </w:r>
          </w:p>
          <w:p w:rsidR="000030E1" w:rsidRPr="00DD79F7" w:rsidRDefault="000030E1" w:rsidP="000030E1">
            <w:pPr>
              <w:spacing w:after="0" w:line="240" w:lineRule="auto"/>
              <w:rPr>
                <w:rFonts w:ascii="Times New Roman" w:eastAsia="Calibri" w:hAnsi="Times New Roman" w:cs="Times New Roman"/>
                <w:color w:val="000000"/>
                <w:spacing w:val="-2"/>
                <w:lang w:eastAsia="en-US"/>
              </w:rPr>
            </w:pPr>
            <w:r w:rsidRPr="00DD79F7">
              <w:rPr>
                <w:rFonts w:ascii="Times New Roman" w:eastAsia="Calibri" w:hAnsi="Times New Roman" w:cs="Times New Roman"/>
                <w:color w:val="000000"/>
                <w:lang w:eastAsia="en-US"/>
              </w:rPr>
              <w:fldChar w:fldCharType="begin">
                <w:ffData>
                  <w:name w:val="Wybór1"/>
                  <w:enabled/>
                  <w:calcOnExit w:val="0"/>
                  <w:checkBox>
                    <w:sizeAuto/>
                    <w:default w:val="0"/>
                  </w:checkBox>
                </w:ffData>
              </w:fldChar>
            </w:r>
            <w:r w:rsidRPr="00DD79F7">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sidRPr="00DD79F7">
              <w:rPr>
                <w:rFonts w:ascii="Times New Roman" w:eastAsia="Calibri" w:hAnsi="Times New Roman" w:cs="Times New Roman"/>
                <w:color w:val="000000"/>
                <w:lang w:eastAsia="en-US"/>
              </w:rPr>
              <w:fldChar w:fldCharType="end"/>
            </w:r>
            <w:r w:rsidRPr="00DD79F7">
              <w:rPr>
                <w:rFonts w:ascii="Times New Roman" w:eastAsia="Calibri" w:hAnsi="Times New Roman" w:cs="Times New Roman"/>
                <w:color w:val="000000"/>
                <w:lang w:eastAsia="en-US"/>
              </w:rPr>
              <w:t xml:space="preserve"> </w:t>
            </w:r>
            <w:r w:rsidRPr="00DD79F7">
              <w:rPr>
                <w:rFonts w:ascii="Times New Roman" w:eastAsia="Calibri" w:hAnsi="Times New Roman" w:cs="Times New Roman"/>
                <w:color w:val="000000"/>
                <w:spacing w:val="-2"/>
                <w:lang w:eastAsia="en-US"/>
              </w:rPr>
              <w:t>zmniejszenie liczby procedur</w:t>
            </w:r>
          </w:p>
          <w:p w:rsidR="000030E1" w:rsidRPr="00DD79F7" w:rsidRDefault="000030E1" w:rsidP="000030E1">
            <w:pPr>
              <w:spacing w:after="0" w:line="240" w:lineRule="auto"/>
              <w:rPr>
                <w:rFonts w:ascii="Times New Roman" w:eastAsia="Calibri" w:hAnsi="Times New Roman" w:cs="Times New Roman"/>
                <w:color w:val="000000"/>
                <w:spacing w:val="-2"/>
                <w:lang w:eastAsia="en-US"/>
              </w:rPr>
            </w:pPr>
            <w:r w:rsidRPr="00DD79F7">
              <w:rPr>
                <w:rFonts w:ascii="Times New Roman" w:eastAsia="Calibri" w:hAnsi="Times New Roman" w:cs="Times New Roman"/>
                <w:color w:val="000000"/>
                <w:lang w:eastAsia="en-US"/>
              </w:rPr>
              <w:fldChar w:fldCharType="begin">
                <w:ffData>
                  <w:name w:val=""/>
                  <w:enabled/>
                  <w:calcOnExit w:val="0"/>
                  <w:checkBox>
                    <w:sizeAuto/>
                    <w:default w:val="0"/>
                  </w:checkBox>
                </w:ffData>
              </w:fldChar>
            </w:r>
            <w:r w:rsidRPr="00DD79F7">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sidRPr="00DD79F7">
              <w:rPr>
                <w:rFonts w:ascii="Times New Roman" w:eastAsia="Calibri" w:hAnsi="Times New Roman" w:cs="Times New Roman"/>
                <w:color w:val="000000"/>
                <w:lang w:eastAsia="en-US"/>
              </w:rPr>
              <w:fldChar w:fldCharType="end"/>
            </w:r>
            <w:r w:rsidRPr="00DD79F7">
              <w:rPr>
                <w:rFonts w:ascii="Times New Roman" w:eastAsia="Calibri" w:hAnsi="Times New Roman" w:cs="Times New Roman"/>
                <w:color w:val="000000"/>
                <w:lang w:eastAsia="en-US"/>
              </w:rPr>
              <w:t xml:space="preserve"> </w:t>
            </w:r>
            <w:r w:rsidRPr="00DD79F7">
              <w:rPr>
                <w:rFonts w:ascii="Times New Roman" w:eastAsia="Calibri" w:hAnsi="Times New Roman" w:cs="Times New Roman"/>
                <w:color w:val="000000"/>
                <w:spacing w:val="-2"/>
                <w:lang w:eastAsia="en-US"/>
              </w:rPr>
              <w:t>skrócenie czasu na załatwienie sprawy</w:t>
            </w:r>
          </w:p>
          <w:p w:rsidR="000030E1" w:rsidRPr="00DD79F7" w:rsidRDefault="000030E1" w:rsidP="000030E1">
            <w:pPr>
              <w:spacing w:after="0"/>
              <w:rPr>
                <w:rFonts w:ascii="Times New Roman" w:eastAsia="Calibri" w:hAnsi="Times New Roman" w:cs="Times New Roman"/>
                <w:b/>
                <w:color w:val="000000"/>
                <w:spacing w:val="-2"/>
                <w:lang w:eastAsia="en-US"/>
              </w:rPr>
            </w:pPr>
            <w:r w:rsidRPr="00DD79F7">
              <w:rPr>
                <w:rFonts w:ascii="Times New Roman" w:eastAsia="Calibri" w:hAnsi="Times New Roman" w:cs="Times New Roman"/>
                <w:color w:val="000000"/>
                <w:lang w:eastAsia="en-US"/>
              </w:rPr>
              <w:fldChar w:fldCharType="begin">
                <w:ffData>
                  <w:name w:val="Wybór1"/>
                  <w:enabled/>
                  <w:calcOnExit w:val="0"/>
                  <w:checkBox>
                    <w:sizeAuto/>
                    <w:default w:val="0"/>
                  </w:checkBox>
                </w:ffData>
              </w:fldChar>
            </w:r>
            <w:r w:rsidRPr="00DD79F7">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sidRPr="00DD79F7">
              <w:rPr>
                <w:rFonts w:ascii="Times New Roman" w:eastAsia="Calibri" w:hAnsi="Times New Roman" w:cs="Times New Roman"/>
                <w:color w:val="000000"/>
                <w:lang w:eastAsia="en-US"/>
              </w:rPr>
              <w:fldChar w:fldCharType="end"/>
            </w:r>
            <w:r w:rsidRPr="00DD79F7">
              <w:rPr>
                <w:rFonts w:ascii="Times New Roman" w:eastAsia="Calibri" w:hAnsi="Times New Roman" w:cs="Times New Roman"/>
                <w:color w:val="000000"/>
                <w:lang w:eastAsia="en-US"/>
              </w:rPr>
              <w:t xml:space="preserve"> </w:t>
            </w:r>
            <w:r w:rsidRPr="00DD79F7">
              <w:rPr>
                <w:rFonts w:ascii="Times New Roman" w:eastAsia="Calibri" w:hAnsi="Times New Roman" w:cs="Times New Roman"/>
                <w:color w:val="000000"/>
                <w:spacing w:val="-2"/>
                <w:lang w:eastAsia="en-US"/>
              </w:rPr>
              <w:t>inne:</w:t>
            </w:r>
            <w:r w:rsidRPr="00DD79F7">
              <w:rPr>
                <w:rFonts w:ascii="Times New Roman" w:eastAsia="Calibri" w:hAnsi="Times New Roman" w:cs="Times New Roman"/>
                <w:color w:val="000000"/>
                <w:lang w:eastAsia="en-US"/>
              </w:rPr>
              <w:t xml:space="preserve"> </w:t>
            </w:r>
            <w:r w:rsidRPr="00DD79F7">
              <w:rPr>
                <w:rFonts w:ascii="Times New Roman" w:eastAsia="Calibri" w:hAnsi="Times New Roman" w:cs="Times New Roman"/>
                <w:color w:val="000000"/>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DD79F7">
              <w:rPr>
                <w:rFonts w:ascii="Times New Roman" w:eastAsia="Calibri" w:hAnsi="Times New Roman" w:cs="Times New Roman"/>
                <w:color w:val="000000"/>
                <w:lang w:eastAsia="en-US"/>
              </w:rPr>
              <w:instrText xml:space="preserve"> FORMTEXT </w:instrText>
            </w:r>
            <w:r w:rsidRPr="00DD79F7">
              <w:rPr>
                <w:rFonts w:ascii="Times New Roman" w:eastAsia="Calibri" w:hAnsi="Times New Roman" w:cs="Times New Roman"/>
                <w:color w:val="000000"/>
                <w:lang w:eastAsia="en-US"/>
              </w:rPr>
            </w:r>
            <w:r w:rsidRPr="00DD79F7">
              <w:rPr>
                <w:rFonts w:ascii="Times New Roman" w:eastAsia="Calibri" w:hAnsi="Times New Roman" w:cs="Times New Roman"/>
                <w:color w:val="000000"/>
                <w:lang w:eastAsia="en-US"/>
              </w:rPr>
              <w:fldChar w:fldCharType="separate"/>
            </w:r>
            <w:r w:rsidRPr="00DD79F7">
              <w:rPr>
                <w:rFonts w:ascii="Times New Roman" w:eastAsia="Calibri" w:hAnsi="Calibri" w:cs="Times New Roman"/>
                <w:noProof/>
                <w:color w:val="000000"/>
                <w:lang w:eastAsia="en-US"/>
              </w:rPr>
              <w:t> </w:t>
            </w:r>
            <w:r w:rsidRPr="00DD79F7">
              <w:rPr>
                <w:rFonts w:ascii="Times New Roman" w:eastAsia="Calibri" w:hAnsi="Calibri" w:cs="Times New Roman"/>
                <w:noProof/>
                <w:color w:val="000000"/>
                <w:lang w:eastAsia="en-US"/>
              </w:rPr>
              <w:t> </w:t>
            </w:r>
            <w:r w:rsidRPr="00DD79F7">
              <w:rPr>
                <w:rFonts w:ascii="Times New Roman" w:eastAsia="Calibri" w:hAnsi="Calibri" w:cs="Times New Roman"/>
                <w:noProof/>
                <w:color w:val="000000"/>
                <w:lang w:eastAsia="en-US"/>
              </w:rPr>
              <w:t> </w:t>
            </w:r>
            <w:r w:rsidRPr="00DD79F7">
              <w:rPr>
                <w:rFonts w:ascii="Times New Roman" w:eastAsia="Calibri" w:hAnsi="Calibri" w:cs="Times New Roman"/>
                <w:noProof/>
                <w:color w:val="000000"/>
                <w:lang w:eastAsia="en-US"/>
              </w:rPr>
              <w:t> </w:t>
            </w:r>
            <w:r w:rsidRPr="00DD79F7">
              <w:rPr>
                <w:rFonts w:ascii="Times New Roman" w:eastAsia="Calibri" w:hAnsi="Calibri" w:cs="Times New Roman"/>
                <w:noProof/>
                <w:color w:val="000000"/>
                <w:lang w:eastAsia="en-US"/>
              </w:rPr>
              <w:t> </w:t>
            </w:r>
            <w:r w:rsidRPr="00DD79F7">
              <w:rPr>
                <w:rFonts w:ascii="Times New Roman" w:eastAsia="Calibri" w:hAnsi="Times New Roman" w:cs="Times New Roman"/>
                <w:color w:val="000000"/>
                <w:lang w:eastAsia="en-US"/>
              </w:rPr>
              <w:fldChar w:fldCharType="end"/>
            </w:r>
          </w:p>
        </w:tc>
        <w:tc>
          <w:tcPr>
            <w:tcW w:w="5584" w:type="dxa"/>
            <w:gridSpan w:val="15"/>
            <w:shd w:val="clear" w:color="auto" w:fill="FFFFFF"/>
          </w:tcPr>
          <w:p w:rsidR="000030E1" w:rsidRPr="00385568" w:rsidRDefault="000030E1" w:rsidP="000030E1">
            <w:pPr>
              <w:spacing w:after="0" w:line="240" w:lineRule="auto"/>
              <w:rPr>
                <w:rFonts w:ascii="Times New Roman" w:eastAsia="Calibri" w:hAnsi="Times New Roman" w:cs="Times New Roman"/>
                <w:color w:val="000000"/>
                <w:spacing w:val="-2"/>
                <w:lang w:eastAsia="en-US"/>
              </w:rPr>
            </w:pPr>
            <w:r>
              <w:rPr>
                <w:rFonts w:ascii="Times New Roman" w:eastAsia="Calibri" w:hAnsi="Times New Roman" w:cs="Times New Roman"/>
                <w:color w:val="000000"/>
                <w:lang w:eastAsia="en-US"/>
              </w:rPr>
              <w:fldChar w:fldCharType="begin">
                <w:ffData>
                  <w:name w:val=""/>
                  <w:enabled/>
                  <w:calcOnExit w:val="0"/>
                  <w:checkBox>
                    <w:sizeAuto/>
                    <w:default w:val="1"/>
                  </w:checkBox>
                </w:ffData>
              </w:fldChar>
            </w:r>
            <w:r>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Pr>
                <w:rFonts w:ascii="Times New Roman" w:eastAsia="Calibri" w:hAnsi="Times New Roman" w:cs="Times New Roman"/>
                <w:color w:val="000000"/>
                <w:lang w:eastAsia="en-US"/>
              </w:rPr>
              <w:fldChar w:fldCharType="end"/>
            </w:r>
            <w:r w:rsidRPr="00385568">
              <w:rPr>
                <w:rFonts w:ascii="Times New Roman" w:eastAsia="Calibri" w:hAnsi="Times New Roman" w:cs="Times New Roman"/>
                <w:color w:val="000000"/>
                <w:sz w:val="20"/>
                <w:szCs w:val="20"/>
                <w:lang w:eastAsia="en-US"/>
              </w:rPr>
              <w:t xml:space="preserve"> </w:t>
            </w:r>
            <w:r w:rsidRPr="00385568">
              <w:rPr>
                <w:rFonts w:ascii="Times New Roman" w:eastAsia="Calibri" w:hAnsi="Times New Roman" w:cs="Times New Roman"/>
                <w:color w:val="000000"/>
                <w:spacing w:val="-2"/>
                <w:lang w:eastAsia="en-US"/>
              </w:rPr>
              <w:t>zwiększenie liczby dokumentów</w:t>
            </w:r>
          </w:p>
          <w:p w:rsidR="000030E1" w:rsidRPr="00385568" w:rsidRDefault="000030E1" w:rsidP="000030E1">
            <w:pPr>
              <w:spacing w:after="0" w:line="240" w:lineRule="auto"/>
              <w:rPr>
                <w:rFonts w:ascii="Times New Roman" w:eastAsia="Calibri" w:hAnsi="Times New Roman" w:cs="Times New Roman"/>
                <w:color w:val="000000"/>
                <w:spacing w:val="-2"/>
                <w:lang w:eastAsia="en-US"/>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900D6F">
              <w:rPr>
                <w:rFonts w:ascii="Times New Roman" w:hAnsi="Times New Roman"/>
                <w:color w:val="000000"/>
              </w:rPr>
            </w:r>
            <w:r w:rsidR="00900D6F">
              <w:rPr>
                <w:rFonts w:ascii="Times New Roman" w:hAnsi="Times New Roman"/>
                <w:color w:val="000000"/>
              </w:rPr>
              <w:fldChar w:fldCharType="separate"/>
            </w:r>
            <w:r>
              <w:rPr>
                <w:rFonts w:ascii="Times New Roman" w:hAnsi="Times New Roman"/>
                <w:color w:val="000000"/>
              </w:rPr>
              <w:fldChar w:fldCharType="end"/>
            </w:r>
            <w:r w:rsidRPr="00385568">
              <w:rPr>
                <w:rFonts w:ascii="Times New Roman" w:eastAsia="Calibri" w:hAnsi="Times New Roman" w:cs="Times New Roman"/>
                <w:color w:val="000000"/>
                <w:sz w:val="20"/>
                <w:szCs w:val="20"/>
                <w:lang w:eastAsia="en-US"/>
              </w:rPr>
              <w:t xml:space="preserve"> </w:t>
            </w:r>
            <w:r w:rsidRPr="00385568">
              <w:rPr>
                <w:rFonts w:ascii="Times New Roman" w:eastAsia="Calibri" w:hAnsi="Times New Roman" w:cs="Times New Roman"/>
                <w:color w:val="000000"/>
                <w:spacing w:val="-2"/>
                <w:lang w:eastAsia="en-US"/>
              </w:rPr>
              <w:t>zwiększenie liczby procedur</w:t>
            </w:r>
          </w:p>
          <w:p w:rsidR="000030E1" w:rsidRPr="00385568" w:rsidRDefault="000030E1" w:rsidP="000030E1">
            <w:pPr>
              <w:spacing w:after="0" w:line="240" w:lineRule="auto"/>
              <w:rPr>
                <w:rFonts w:ascii="Times New Roman" w:eastAsia="Calibri" w:hAnsi="Times New Roman" w:cs="Times New Roman"/>
                <w:color w:val="000000"/>
                <w:spacing w:val="-2"/>
                <w:lang w:eastAsia="en-US"/>
              </w:rPr>
            </w:pPr>
            <w:r w:rsidRPr="00385568">
              <w:rPr>
                <w:rFonts w:ascii="Times New Roman" w:eastAsia="Calibri" w:hAnsi="Times New Roman" w:cs="Times New Roman"/>
                <w:color w:val="000000"/>
                <w:lang w:eastAsia="en-US"/>
              </w:rPr>
              <w:fldChar w:fldCharType="begin">
                <w:ffData>
                  <w:name w:val="Wybór1"/>
                  <w:enabled/>
                  <w:calcOnExit w:val="0"/>
                  <w:checkBox>
                    <w:sizeAuto/>
                    <w:default w:val="0"/>
                  </w:checkBox>
                </w:ffData>
              </w:fldChar>
            </w:r>
            <w:r w:rsidRPr="00385568">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sidRPr="00385568">
              <w:rPr>
                <w:rFonts w:ascii="Times New Roman" w:eastAsia="Calibri" w:hAnsi="Times New Roman" w:cs="Times New Roman"/>
                <w:color w:val="000000"/>
                <w:lang w:eastAsia="en-US"/>
              </w:rPr>
              <w:fldChar w:fldCharType="end"/>
            </w:r>
            <w:r w:rsidRPr="00385568">
              <w:rPr>
                <w:rFonts w:ascii="Times New Roman" w:eastAsia="Calibri" w:hAnsi="Times New Roman" w:cs="Times New Roman"/>
                <w:color w:val="000000"/>
                <w:sz w:val="20"/>
                <w:szCs w:val="20"/>
                <w:lang w:eastAsia="en-US"/>
              </w:rPr>
              <w:t xml:space="preserve"> </w:t>
            </w:r>
            <w:r w:rsidRPr="00385568">
              <w:rPr>
                <w:rFonts w:ascii="Times New Roman" w:eastAsia="Calibri" w:hAnsi="Times New Roman" w:cs="Times New Roman"/>
                <w:color w:val="000000"/>
                <w:spacing w:val="-2"/>
                <w:lang w:eastAsia="en-US"/>
              </w:rPr>
              <w:t>wydłużenie czasu na załatwienie sprawy</w:t>
            </w:r>
          </w:p>
          <w:p w:rsidR="000030E1" w:rsidRPr="00385568" w:rsidRDefault="000030E1" w:rsidP="000030E1">
            <w:pPr>
              <w:spacing w:after="0" w:line="240" w:lineRule="auto"/>
              <w:rPr>
                <w:rFonts w:ascii="Times New Roman" w:eastAsia="Calibri" w:hAnsi="Times New Roman" w:cs="Times New Roman"/>
                <w:color w:val="000000"/>
                <w:lang w:eastAsia="en-US"/>
              </w:rPr>
            </w:pPr>
            <w:r w:rsidRPr="00385568">
              <w:rPr>
                <w:rFonts w:ascii="Times New Roman" w:eastAsia="Calibri" w:hAnsi="Times New Roman" w:cs="Times New Roman"/>
                <w:color w:val="000000"/>
                <w:lang w:eastAsia="en-US"/>
              </w:rPr>
              <w:fldChar w:fldCharType="begin">
                <w:ffData>
                  <w:name w:val="Wybór1"/>
                  <w:enabled/>
                  <w:calcOnExit w:val="0"/>
                  <w:checkBox>
                    <w:sizeAuto/>
                    <w:default w:val="0"/>
                  </w:checkBox>
                </w:ffData>
              </w:fldChar>
            </w:r>
            <w:r w:rsidRPr="00385568">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sidRPr="00385568">
              <w:rPr>
                <w:rFonts w:ascii="Times New Roman" w:eastAsia="Calibri" w:hAnsi="Times New Roman" w:cs="Times New Roman"/>
                <w:color w:val="000000"/>
                <w:lang w:eastAsia="en-US"/>
              </w:rPr>
              <w:fldChar w:fldCharType="end"/>
            </w:r>
            <w:r w:rsidRPr="00385568">
              <w:rPr>
                <w:rFonts w:ascii="Times New Roman" w:eastAsia="Calibri" w:hAnsi="Times New Roman" w:cs="Times New Roman"/>
                <w:color w:val="000000"/>
                <w:sz w:val="20"/>
                <w:szCs w:val="20"/>
                <w:lang w:eastAsia="en-US"/>
              </w:rPr>
              <w:t xml:space="preserve"> </w:t>
            </w:r>
            <w:r w:rsidRPr="00385568">
              <w:rPr>
                <w:rFonts w:ascii="Times New Roman" w:eastAsia="Calibri" w:hAnsi="Times New Roman" w:cs="Times New Roman"/>
                <w:color w:val="000000"/>
                <w:spacing w:val="-2"/>
                <w:lang w:eastAsia="en-US"/>
              </w:rPr>
              <w:t>inne:</w:t>
            </w:r>
            <w:r w:rsidRPr="00385568">
              <w:rPr>
                <w:rFonts w:ascii="Times New Roman" w:eastAsia="Calibri" w:hAnsi="Times New Roman" w:cs="Times New Roman"/>
                <w:color w:val="000000"/>
                <w:lang w:eastAsia="en-US"/>
              </w:rPr>
              <w:t xml:space="preserve"> </w:t>
            </w:r>
            <w:r w:rsidRPr="00385568">
              <w:rPr>
                <w:rFonts w:ascii="Times New Roman" w:eastAsia="Calibri" w:hAnsi="Times New Roman" w:cs="Times New Roman"/>
                <w:color w:val="000000"/>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85568">
              <w:rPr>
                <w:rFonts w:ascii="Times New Roman" w:eastAsia="Calibri" w:hAnsi="Times New Roman" w:cs="Times New Roman"/>
                <w:color w:val="000000"/>
                <w:lang w:eastAsia="en-US"/>
              </w:rPr>
              <w:instrText xml:space="preserve"> FORMTEXT </w:instrText>
            </w:r>
            <w:r w:rsidRPr="00385568">
              <w:rPr>
                <w:rFonts w:ascii="Times New Roman" w:eastAsia="Calibri" w:hAnsi="Times New Roman" w:cs="Times New Roman"/>
                <w:color w:val="000000"/>
                <w:lang w:eastAsia="en-US"/>
              </w:rPr>
            </w:r>
            <w:r w:rsidRPr="00385568">
              <w:rPr>
                <w:rFonts w:ascii="Times New Roman" w:eastAsia="Calibri" w:hAnsi="Times New Roman" w:cs="Times New Roman"/>
                <w:color w:val="000000"/>
                <w:lang w:eastAsia="en-US"/>
              </w:rPr>
              <w:fldChar w:fldCharType="separate"/>
            </w:r>
            <w:r w:rsidRPr="00385568">
              <w:rPr>
                <w:rFonts w:ascii="Times New Roman" w:eastAsia="Calibri" w:hAnsi="Calibri" w:cs="Times New Roman"/>
                <w:noProof/>
                <w:color w:val="000000"/>
                <w:lang w:eastAsia="en-US"/>
              </w:rPr>
              <w:t> </w:t>
            </w:r>
            <w:r w:rsidRPr="00385568">
              <w:rPr>
                <w:rFonts w:ascii="Times New Roman" w:eastAsia="Calibri" w:hAnsi="Calibri" w:cs="Times New Roman"/>
                <w:noProof/>
                <w:color w:val="000000"/>
                <w:lang w:eastAsia="en-US"/>
              </w:rPr>
              <w:t> </w:t>
            </w:r>
            <w:r w:rsidRPr="00385568">
              <w:rPr>
                <w:rFonts w:ascii="Times New Roman" w:eastAsia="Calibri" w:hAnsi="Calibri" w:cs="Times New Roman"/>
                <w:noProof/>
                <w:color w:val="000000"/>
                <w:lang w:eastAsia="en-US"/>
              </w:rPr>
              <w:t> </w:t>
            </w:r>
            <w:r w:rsidRPr="00385568">
              <w:rPr>
                <w:rFonts w:ascii="Times New Roman" w:eastAsia="Calibri" w:hAnsi="Calibri" w:cs="Times New Roman"/>
                <w:noProof/>
                <w:color w:val="000000"/>
                <w:lang w:eastAsia="en-US"/>
              </w:rPr>
              <w:t> </w:t>
            </w:r>
            <w:r w:rsidRPr="00385568">
              <w:rPr>
                <w:rFonts w:ascii="Times New Roman" w:eastAsia="Calibri" w:hAnsi="Calibri" w:cs="Times New Roman"/>
                <w:noProof/>
                <w:color w:val="000000"/>
                <w:lang w:eastAsia="en-US"/>
              </w:rPr>
              <w:t> </w:t>
            </w:r>
            <w:r w:rsidRPr="00385568">
              <w:rPr>
                <w:rFonts w:ascii="Times New Roman" w:eastAsia="Calibri" w:hAnsi="Times New Roman" w:cs="Times New Roman"/>
                <w:color w:val="000000"/>
                <w:lang w:eastAsia="en-US"/>
              </w:rPr>
              <w:fldChar w:fldCharType="end"/>
            </w:r>
          </w:p>
          <w:p w:rsidR="000030E1" w:rsidRPr="00385568" w:rsidRDefault="000030E1" w:rsidP="000030E1">
            <w:pPr>
              <w:spacing w:after="0" w:line="240" w:lineRule="auto"/>
              <w:rPr>
                <w:rFonts w:ascii="Times New Roman" w:eastAsia="Calibri" w:hAnsi="Times New Roman" w:cs="Times New Roman"/>
                <w:color w:val="000000"/>
                <w:lang w:eastAsia="en-US"/>
              </w:rPr>
            </w:pPr>
          </w:p>
        </w:tc>
      </w:tr>
      <w:tr w:rsidR="000030E1" w:rsidRPr="00385568" w:rsidTr="00030232">
        <w:trPr>
          <w:trHeight w:val="870"/>
        </w:trPr>
        <w:tc>
          <w:tcPr>
            <w:tcW w:w="5108" w:type="dxa"/>
            <w:gridSpan w:val="11"/>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r w:rsidRPr="00DD79F7">
              <w:rPr>
                <w:rFonts w:ascii="Times New Roman" w:eastAsia="Calibri" w:hAnsi="Times New Roman" w:cs="Times New Roman"/>
                <w:color w:val="000000"/>
                <w:spacing w:val="-2"/>
                <w:lang w:eastAsia="en-US"/>
              </w:rPr>
              <w:t xml:space="preserve">Wprowadzane obciążenia są przystosowane do ich elektronizacji. </w:t>
            </w:r>
          </w:p>
        </w:tc>
        <w:tc>
          <w:tcPr>
            <w:tcW w:w="5584" w:type="dxa"/>
            <w:gridSpan w:val="15"/>
            <w:shd w:val="clear" w:color="auto" w:fill="FFFFFF"/>
          </w:tcPr>
          <w:p w:rsidR="000030E1" w:rsidRPr="00385568" w:rsidRDefault="000030E1" w:rsidP="000030E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fldChar w:fldCharType="begin">
                <w:ffData>
                  <w:name w:val=""/>
                  <w:enabled/>
                  <w:calcOnExit w:val="0"/>
                  <w:checkBox>
                    <w:sizeAuto/>
                    <w:default w:val="1"/>
                  </w:checkBox>
                </w:ffData>
              </w:fldChar>
            </w:r>
            <w:r>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Pr>
                <w:rFonts w:ascii="Times New Roman" w:eastAsia="Calibri" w:hAnsi="Times New Roman" w:cs="Times New Roman"/>
                <w:color w:val="000000"/>
                <w:lang w:eastAsia="en-US"/>
              </w:rPr>
              <w:fldChar w:fldCharType="end"/>
            </w:r>
            <w:r w:rsidRPr="00385568">
              <w:rPr>
                <w:rFonts w:ascii="Times New Roman" w:eastAsia="Calibri" w:hAnsi="Times New Roman" w:cs="Times New Roman"/>
                <w:color w:val="000000"/>
                <w:lang w:eastAsia="en-US"/>
              </w:rPr>
              <w:t xml:space="preserve"> tak</w:t>
            </w:r>
          </w:p>
          <w:p w:rsidR="000030E1" w:rsidRPr="00385568" w:rsidRDefault="000030E1" w:rsidP="000030E1">
            <w:pPr>
              <w:spacing w:after="0" w:line="240" w:lineRule="auto"/>
              <w:rPr>
                <w:rFonts w:ascii="Times New Roman" w:eastAsia="Calibri" w:hAnsi="Times New Roman" w:cs="Times New Roman"/>
                <w:color w:val="000000"/>
                <w:lang w:eastAsia="en-US"/>
              </w:rPr>
            </w:pPr>
            <w:r w:rsidRPr="00385568">
              <w:rPr>
                <w:rFonts w:ascii="Times New Roman" w:eastAsia="Calibri" w:hAnsi="Times New Roman" w:cs="Times New Roman"/>
                <w:color w:val="000000"/>
                <w:lang w:eastAsia="en-US"/>
              </w:rPr>
              <w:fldChar w:fldCharType="begin">
                <w:ffData>
                  <w:name w:val=""/>
                  <w:enabled/>
                  <w:calcOnExit w:val="0"/>
                  <w:checkBox>
                    <w:sizeAuto/>
                    <w:default w:val="0"/>
                  </w:checkBox>
                </w:ffData>
              </w:fldChar>
            </w:r>
            <w:r w:rsidRPr="00385568">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sidRPr="00385568">
              <w:rPr>
                <w:rFonts w:ascii="Times New Roman" w:eastAsia="Calibri" w:hAnsi="Times New Roman" w:cs="Times New Roman"/>
                <w:color w:val="000000"/>
                <w:lang w:eastAsia="en-US"/>
              </w:rPr>
              <w:fldChar w:fldCharType="end"/>
            </w:r>
            <w:r w:rsidRPr="00385568">
              <w:rPr>
                <w:rFonts w:ascii="Times New Roman" w:eastAsia="Calibri" w:hAnsi="Times New Roman" w:cs="Times New Roman"/>
                <w:color w:val="000000"/>
                <w:lang w:eastAsia="en-US"/>
              </w:rPr>
              <w:t xml:space="preserve"> nie</w:t>
            </w:r>
          </w:p>
          <w:p w:rsidR="000030E1" w:rsidRPr="00385568" w:rsidRDefault="000030E1" w:rsidP="000030E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fldChar w:fldCharType="begin">
                <w:ffData>
                  <w:name w:val=""/>
                  <w:enabled/>
                  <w:calcOnExit w:val="0"/>
                  <w:checkBox>
                    <w:sizeAuto/>
                    <w:default w:val="0"/>
                  </w:checkBox>
                </w:ffData>
              </w:fldChar>
            </w:r>
            <w:r>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Pr>
                <w:rFonts w:ascii="Times New Roman" w:eastAsia="Calibri" w:hAnsi="Times New Roman" w:cs="Times New Roman"/>
                <w:color w:val="000000"/>
                <w:lang w:eastAsia="en-US"/>
              </w:rPr>
              <w:fldChar w:fldCharType="end"/>
            </w:r>
            <w:r w:rsidRPr="00385568">
              <w:rPr>
                <w:rFonts w:ascii="Times New Roman" w:eastAsia="Calibri" w:hAnsi="Times New Roman" w:cs="Times New Roman"/>
                <w:color w:val="000000"/>
                <w:lang w:eastAsia="en-US"/>
              </w:rPr>
              <w:t xml:space="preserve"> nie dotyczy</w:t>
            </w:r>
          </w:p>
          <w:p w:rsidR="000030E1" w:rsidRPr="00385568" w:rsidRDefault="000030E1" w:rsidP="000030E1">
            <w:pPr>
              <w:spacing w:after="0" w:line="240" w:lineRule="auto"/>
              <w:rPr>
                <w:rFonts w:ascii="Times New Roman" w:eastAsia="Calibri" w:hAnsi="Times New Roman" w:cs="Times New Roman"/>
                <w:color w:val="000000"/>
                <w:lang w:eastAsia="en-US"/>
              </w:rPr>
            </w:pPr>
          </w:p>
        </w:tc>
      </w:tr>
      <w:tr w:rsidR="000030E1" w:rsidRPr="00385568" w:rsidTr="00030232">
        <w:trPr>
          <w:trHeight w:val="630"/>
        </w:trPr>
        <w:tc>
          <w:tcPr>
            <w:tcW w:w="10692" w:type="dxa"/>
            <w:gridSpan w:val="26"/>
            <w:shd w:val="clear" w:color="auto" w:fill="FFFFFF"/>
          </w:tcPr>
          <w:p w:rsidR="000030E1" w:rsidRPr="00DD79F7" w:rsidRDefault="007342CC" w:rsidP="00C6412F">
            <w:pPr>
              <w:spacing w:after="0" w:line="240" w:lineRule="auto"/>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Komentarz:</w:t>
            </w:r>
            <w:r w:rsidR="000030E1">
              <w:rPr>
                <w:rFonts w:ascii="Times New Roman" w:eastAsia="Calibri" w:hAnsi="Times New Roman" w:cs="Times New Roman"/>
                <w:color w:val="000000"/>
                <w:lang w:eastAsia="en-US"/>
              </w:rPr>
              <w:t xml:space="preserve"> </w:t>
            </w:r>
          </w:p>
        </w:tc>
      </w:tr>
      <w:tr w:rsidR="000030E1" w:rsidRPr="00385568" w:rsidTr="00030232">
        <w:trPr>
          <w:trHeight w:val="142"/>
        </w:trPr>
        <w:tc>
          <w:tcPr>
            <w:tcW w:w="10692" w:type="dxa"/>
            <w:gridSpan w:val="26"/>
            <w:shd w:val="clear" w:color="auto" w:fill="99CCFF"/>
          </w:tcPr>
          <w:p w:rsidR="000030E1" w:rsidRPr="00DD79F7" w:rsidRDefault="000030E1" w:rsidP="000030E1">
            <w:pPr>
              <w:numPr>
                <w:ilvl w:val="0"/>
                <w:numId w:val="9"/>
              </w:numPr>
              <w:spacing w:before="60" w:after="60" w:line="240" w:lineRule="auto"/>
              <w:jc w:val="both"/>
              <w:rPr>
                <w:rFonts w:ascii="Times New Roman" w:eastAsia="Calibri" w:hAnsi="Times New Roman" w:cs="Times New Roman"/>
                <w:b/>
                <w:color w:val="000000"/>
                <w:lang w:eastAsia="en-US"/>
              </w:rPr>
            </w:pPr>
            <w:r w:rsidRPr="00DD79F7">
              <w:rPr>
                <w:rFonts w:ascii="Times New Roman" w:eastAsia="Calibri" w:hAnsi="Times New Roman" w:cs="Times New Roman"/>
                <w:b/>
                <w:color w:val="000000"/>
                <w:lang w:eastAsia="en-US"/>
              </w:rPr>
              <w:t xml:space="preserve">Wpływ na rynek pracy </w:t>
            </w:r>
          </w:p>
        </w:tc>
      </w:tr>
      <w:tr w:rsidR="000030E1" w:rsidRPr="00385568" w:rsidTr="00030232">
        <w:trPr>
          <w:trHeight w:val="142"/>
        </w:trPr>
        <w:tc>
          <w:tcPr>
            <w:tcW w:w="10692" w:type="dxa"/>
            <w:gridSpan w:val="26"/>
            <w:shd w:val="clear" w:color="auto" w:fill="auto"/>
          </w:tcPr>
          <w:p w:rsidR="000030E1" w:rsidRDefault="000030E1" w:rsidP="000030E1">
            <w:pPr>
              <w:spacing w:after="0" w:line="240" w:lineRule="auto"/>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Na rynku pracy:</w:t>
            </w:r>
          </w:p>
          <w:p w:rsidR="000030E1" w:rsidRPr="007342CC" w:rsidRDefault="000030E1" w:rsidP="007342CC">
            <w:pPr>
              <w:spacing w:after="0" w:line="240" w:lineRule="auto"/>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nastąpi uporządkowanie i podniesienie jakości usług transportowych</w:t>
            </w:r>
            <w:r w:rsidR="007342CC">
              <w:rPr>
                <w:rFonts w:ascii="Times New Roman" w:eastAsia="Calibri" w:hAnsi="Times New Roman" w:cs="Times New Roman"/>
                <w:color w:val="000000"/>
                <w:lang w:eastAsia="en-US"/>
              </w:rPr>
              <w:t>.</w:t>
            </w:r>
          </w:p>
        </w:tc>
      </w:tr>
      <w:tr w:rsidR="000030E1" w:rsidRPr="00385568" w:rsidTr="00030232">
        <w:trPr>
          <w:trHeight w:val="142"/>
        </w:trPr>
        <w:tc>
          <w:tcPr>
            <w:tcW w:w="10692" w:type="dxa"/>
            <w:gridSpan w:val="26"/>
            <w:shd w:val="clear" w:color="auto" w:fill="99CCFF"/>
          </w:tcPr>
          <w:p w:rsidR="000030E1" w:rsidRPr="00DD79F7" w:rsidRDefault="000030E1" w:rsidP="000030E1">
            <w:pPr>
              <w:numPr>
                <w:ilvl w:val="0"/>
                <w:numId w:val="9"/>
              </w:numPr>
              <w:spacing w:before="60" w:after="60" w:line="240" w:lineRule="auto"/>
              <w:jc w:val="both"/>
              <w:rPr>
                <w:rFonts w:ascii="Times New Roman" w:eastAsia="Calibri" w:hAnsi="Times New Roman" w:cs="Times New Roman"/>
                <w:b/>
                <w:color w:val="000000"/>
                <w:lang w:eastAsia="en-US"/>
              </w:rPr>
            </w:pPr>
            <w:r w:rsidRPr="00DD79F7">
              <w:rPr>
                <w:rFonts w:ascii="Times New Roman" w:eastAsia="Calibri" w:hAnsi="Times New Roman" w:cs="Times New Roman"/>
                <w:b/>
                <w:color w:val="000000"/>
                <w:lang w:eastAsia="en-US"/>
              </w:rPr>
              <w:t>Wpływ na pozostałe obszary</w:t>
            </w:r>
          </w:p>
        </w:tc>
      </w:tr>
      <w:tr w:rsidR="000030E1" w:rsidRPr="00385568" w:rsidTr="00030232">
        <w:trPr>
          <w:trHeight w:val="1031"/>
        </w:trPr>
        <w:tc>
          <w:tcPr>
            <w:tcW w:w="3394" w:type="dxa"/>
            <w:gridSpan w:val="6"/>
            <w:shd w:val="clear" w:color="auto" w:fill="FFFFFF"/>
          </w:tcPr>
          <w:p w:rsidR="000030E1" w:rsidRPr="00DD79F7" w:rsidRDefault="000030E1" w:rsidP="000030E1">
            <w:pPr>
              <w:spacing w:after="0" w:line="240" w:lineRule="auto"/>
              <w:rPr>
                <w:rFonts w:ascii="Times New Roman" w:eastAsia="Calibri" w:hAnsi="Times New Roman" w:cs="Times New Roman"/>
                <w:color w:val="000000"/>
                <w:lang w:eastAsia="en-US"/>
              </w:rPr>
            </w:pPr>
          </w:p>
          <w:p w:rsidR="000030E1" w:rsidRPr="00DD79F7" w:rsidRDefault="000030E1" w:rsidP="000030E1">
            <w:pPr>
              <w:spacing w:after="0" w:line="240" w:lineRule="auto"/>
              <w:rPr>
                <w:rFonts w:ascii="Times New Roman" w:eastAsia="Calibri" w:hAnsi="Times New Roman" w:cs="Times New Roman"/>
                <w:color w:val="000000"/>
                <w:spacing w:val="-2"/>
                <w:lang w:eastAsia="en-US"/>
              </w:rPr>
            </w:pPr>
            <w:r w:rsidRPr="00DD79F7">
              <w:rPr>
                <w:rFonts w:ascii="Times New Roman" w:eastAsia="Calibri" w:hAnsi="Times New Roman" w:cs="Times New Roman"/>
                <w:color w:val="000000"/>
                <w:lang w:eastAsia="en-US"/>
              </w:rPr>
              <w:fldChar w:fldCharType="begin">
                <w:ffData>
                  <w:name w:val="Wybór1"/>
                  <w:enabled/>
                  <w:calcOnExit w:val="0"/>
                  <w:checkBox>
                    <w:sizeAuto/>
                    <w:default w:val="0"/>
                  </w:checkBox>
                </w:ffData>
              </w:fldChar>
            </w:r>
            <w:r w:rsidRPr="00DD79F7">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sidRPr="00DD79F7">
              <w:rPr>
                <w:rFonts w:ascii="Times New Roman" w:eastAsia="Calibri" w:hAnsi="Times New Roman" w:cs="Times New Roman"/>
                <w:color w:val="000000"/>
                <w:lang w:eastAsia="en-US"/>
              </w:rPr>
              <w:fldChar w:fldCharType="end"/>
            </w:r>
            <w:r w:rsidRPr="00A61D07">
              <w:rPr>
                <w:rFonts w:ascii="Times New Roman" w:eastAsia="Calibri" w:hAnsi="Times New Roman" w:cs="Times New Roman"/>
                <w:color w:val="000000"/>
                <w:lang w:eastAsia="en-US"/>
              </w:rPr>
              <w:t xml:space="preserve"> </w:t>
            </w:r>
            <w:r w:rsidRPr="00DD79F7">
              <w:rPr>
                <w:rFonts w:ascii="Times New Roman" w:eastAsia="Calibri" w:hAnsi="Times New Roman" w:cs="Times New Roman"/>
                <w:color w:val="000000"/>
                <w:spacing w:val="-2"/>
                <w:lang w:eastAsia="en-US"/>
              </w:rPr>
              <w:t>środowisko naturalne</w:t>
            </w:r>
          </w:p>
          <w:p w:rsidR="000030E1" w:rsidRPr="00DD79F7" w:rsidRDefault="000030E1" w:rsidP="000030E1">
            <w:pPr>
              <w:spacing w:after="0" w:line="240" w:lineRule="auto"/>
              <w:rPr>
                <w:rFonts w:ascii="Times New Roman" w:eastAsia="Calibri" w:hAnsi="Times New Roman" w:cs="Times New Roman"/>
                <w:color w:val="000000"/>
                <w:lang w:eastAsia="en-US"/>
              </w:rPr>
            </w:pPr>
            <w:r w:rsidRPr="00A61D07">
              <w:rPr>
                <w:rFonts w:ascii="Times New Roman" w:eastAsia="Calibri" w:hAnsi="Times New Roman" w:cs="Times New Roman"/>
                <w:color w:val="000000"/>
                <w:lang w:eastAsia="en-US"/>
              </w:rPr>
              <w:fldChar w:fldCharType="begin">
                <w:ffData>
                  <w:name w:val=""/>
                  <w:enabled/>
                  <w:calcOnExit w:val="0"/>
                  <w:checkBox>
                    <w:sizeAuto/>
                    <w:default w:val="0"/>
                  </w:checkBox>
                </w:ffData>
              </w:fldChar>
            </w:r>
            <w:r w:rsidRPr="00A61D07">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sidRPr="00A61D07">
              <w:rPr>
                <w:rFonts w:ascii="Times New Roman" w:eastAsia="Calibri" w:hAnsi="Times New Roman" w:cs="Times New Roman"/>
                <w:color w:val="000000"/>
                <w:lang w:eastAsia="en-US"/>
              </w:rPr>
              <w:fldChar w:fldCharType="end"/>
            </w:r>
            <w:r w:rsidRPr="00A61D07">
              <w:rPr>
                <w:rFonts w:ascii="Times New Roman" w:eastAsia="Calibri" w:hAnsi="Times New Roman" w:cs="Times New Roman"/>
                <w:color w:val="000000"/>
                <w:lang w:eastAsia="en-US"/>
              </w:rPr>
              <w:t xml:space="preserve"> </w:t>
            </w:r>
            <w:r w:rsidRPr="00DD79F7">
              <w:rPr>
                <w:rFonts w:ascii="Times New Roman" w:eastAsia="Calibri" w:hAnsi="Times New Roman" w:cs="Times New Roman"/>
                <w:color w:val="000000"/>
                <w:lang w:eastAsia="en-US"/>
              </w:rPr>
              <w:t>sytuacja i rozwój regionalny</w:t>
            </w:r>
          </w:p>
          <w:p w:rsidR="000030E1" w:rsidRPr="00DD79F7" w:rsidRDefault="000030E1" w:rsidP="000030E1">
            <w:pPr>
              <w:spacing w:after="0" w:line="240" w:lineRule="auto"/>
              <w:rPr>
                <w:rFonts w:ascii="Times New Roman" w:eastAsia="Calibri" w:hAnsi="Times New Roman" w:cs="Times New Roman"/>
                <w:color w:val="000000"/>
                <w:spacing w:val="-2"/>
                <w:lang w:eastAsia="en-US"/>
              </w:rPr>
            </w:pPr>
            <w:r w:rsidRPr="00A61D07">
              <w:rPr>
                <w:rFonts w:ascii="Times New Roman" w:eastAsia="Calibri" w:hAnsi="Times New Roman" w:cs="Times New Roman"/>
                <w:color w:val="000000"/>
                <w:lang w:eastAsia="en-US"/>
              </w:rPr>
              <w:fldChar w:fldCharType="begin">
                <w:ffData>
                  <w:name w:val="Wybór1"/>
                  <w:enabled/>
                  <w:calcOnExit w:val="0"/>
                  <w:checkBox>
                    <w:sizeAuto/>
                    <w:default w:val="0"/>
                  </w:checkBox>
                </w:ffData>
              </w:fldChar>
            </w:r>
            <w:r w:rsidRPr="00A61D07">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sidRPr="00A61D07">
              <w:rPr>
                <w:rFonts w:ascii="Times New Roman" w:eastAsia="Calibri" w:hAnsi="Times New Roman" w:cs="Times New Roman"/>
                <w:color w:val="000000"/>
                <w:lang w:eastAsia="en-US"/>
              </w:rPr>
              <w:fldChar w:fldCharType="end"/>
            </w:r>
            <w:r w:rsidRPr="00A61D07">
              <w:rPr>
                <w:rFonts w:ascii="Times New Roman" w:eastAsia="Calibri" w:hAnsi="Times New Roman" w:cs="Times New Roman"/>
                <w:color w:val="000000"/>
                <w:lang w:eastAsia="en-US"/>
              </w:rPr>
              <w:t xml:space="preserve"> </w:t>
            </w:r>
            <w:r>
              <w:rPr>
                <w:rFonts w:ascii="Times New Roman" w:eastAsia="Calibri" w:hAnsi="Times New Roman" w:cs="Times New Roman"/>
                <w:color w:val="000000"/>
                <w:spacing w:val="-2"/>
                <w:lang w:eastAsia="en-US"/>
              </w:rPr>
              <w:t>inne:</w:t>
            </w:r>
          </w:p>
        </w:tc>
        <w:tc>
          <w:tcPr>
            <w:tcW w:w="3837" w:type="dxa"/>
            <w:gridSpan w:val="12"/>
            <w:shd w:val="clear" w:color="auto" w:fill="FFFFFF"/>
          </w:tcPr>
          <w:p w:rsidR="000030E1" w:rsidRPr="00385568" w:rsidRDefault="000030E1" w:rsidP="000030E1">
            <w:pPr>
              <w:spacing w:after="0" w:line="240" w:lineRule="auto"/>
              <w:rPr>
                <w:rFonts w:ascii="Times New Roman" w:eastAsia="Calibri" w:hAnsi="Times New Roman" w:cs="Times New Roman"/>
                <w:color w:val="000000"/>
                <w:lang w:eastAsia="en-US"/>
              </w:rPr>
            </w:pPr>
          </w:p>
          <w:p w:rsidR="000030E1" w:rsidRPr="00385568" w:rsidRDefault="000030E1" w:rsidP="000030E1">
            <w:pPr>
              <w:spacing w:after="0" w:line="240" w:lineRule="auto"/>
              <w:rPr>
                <w:rFonts w:ascii="Times New Roman" w:eastAsia="Calibri" w:hAnsi="Times New Roman" w:cs="Times New Roman"/>
                <w:color w:val="000000"/>
                <w:spacing w:val="-2"/>
                <w:lang w:eastAsia="en-US"/>
              </w:rPr>
            </w:pPr>
            <w:r w:rsidRPr="00385568">
              <w:rPr>
                <w:rFonts w:ascii="Times New Roman" w:eastAsia="Calibri" w:hAnsi="Times New Roman" w:cs="Times New Roman"/>
                <w:color w:val="000000"/>
                <w:lang w:eastAsia="en-US"/>
              </w:rPr>
              <w:fldChar w:fldCharType="begin">
                <w:ffData>
                  <w:name w:val="Wybór1"/>
                  <w:enabled/>
                  <w:calcOnExit w:val="0"/>
                  <w:checkBox>
                    <w:sizeAuto/>
                    <w:default w:val="0"/>
                  </w:checkBox>
                </w:ffData>
              </w:fldChar>
            </w:r>
            <w:r w:rsidRPr="00385568">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sidRPr="00385568">
              <w:rPr>
                <w:rFonts w:ascii="Times New Roman" w:eastAsia="Calibri" w:hAnsi="Times New Roman" w:cs="Times New Roman"/>
                <w:color w:val="000000"/>
                <w:lang w:eastAsia="en-US"/>
              </w:rPr>
              <w:fldChar w:fldCharType="end"/>
            </w:r>
            <w:r w:rsidRPr="00385568">
              <w:rPr>
                <w:rFonts w:ascii="Times New Roman" w:eastAsia="Calibri" w:hAnsi="Times New Roman" w:cs="Times New Roman"/>
                <w:color w:val="000000"/>
                <w:sz w:val="20"/>
                <w:szCs w:val="20"/>
                <w:lang w:eastAsia="en-US"/>
              </w:rPr>
              <w:t xml:space="preserve"> </w:t>
            </w:r>
            <w:r w:rsidRPr="00385568">
              <w:rPr>
                <w:rFonts w:ascii="Times New Roman" w:eastAsia="Calibri" w:hAnsi="Times New Roman" w:cs="Times New Roman"/>
                <w:color w:val="000000"/>
                <w:spacing w:val="-2"/>
                <w:lang w:eastAsia="en-US"/>
              </w:rPr>
              <w:t>demografia</w:t>
            </w:r>
          </w:p>
          <w:p w:rsidR="000030E1" w:rsidRPr="00385568" w:rsidRDefault="000030E1" w:rsidP="000030E1">
            <w:pPr>
              <w:spacing w:after="0" w:line="240" w:lineRule="auto"/>
              <w:rPr>
                <w:rFonts w:ascii="Times New Roman" w:eastAsia="Calibri" w:hAnsi="Times New Roman" w:cs="Times New Roman"/>
                <w:color w:val="000000"/>
                <w:lang w:eastAsia="en-US"/>
              </w:rPr>
            </w:pPr>
            <w:r w:rsidRPr="00385568">
              <w:rPr>
                <w:rFonts w:ascii="Times New Roman" w:eastAsia="Calibri" w:hAnsi="Times New Roman" w:cs="Times New Roman"/>
                <w:color w:val="000000"/>
                <w:lang w:eastAsia="en-US"/>
              </w:rPr>
              <w:fldChar w:fldCharType="begin">
                <w:ffData>
                  <w:name w:val=""/>
                  <w:enabled/>
                  <w:calcOnExit w:val="0"/>
                  <w:checkBox>
                    <w:sizeAuto/>
                    <w:default w:val="0"/>
                  </w:checkBox>
                </w:ffData>
              </w:fldChar>
            </w:r>
            <w:r w:rsidRPr="00385568">
              <w:rPr>
                <w:rFonts w:ascii="Times New Roman" w:eastAsia="Calibri" w:hAnsi="Times New Roman" w:cs="Times New Roman"/>
                <w:color w:val="000000"/>
                <w:lang w:eastAsia="en-US"/>
              </w:rPr>
              <w:instrText xml:space="preserve"> FORMCHECKBOX </w:instrText>
            </w:r>
            <w:r w:rsidR="00900D6F">
              <w:rPr>
                <w:rFonts w:ascii="Times New Roman" w:eastAsia="Calibri" w:hAnsi="Times New Roman" w:cs="Times New Roman"/>
                <w:color w:val="000000"/>
                <w:lang w:eastAsia="en-US"/>
              </w:rPr>
            </w:r>
            <w:r w:rsidR="00900D6F">
              <w:rPr>
                <w:rFonts w:ascii="Times New Roman" w:eastAsia="Calibri" w:hAnsi="Times New Roman" w:cs="Times New Roman"/>
                <w:color w:val="000000"/>
                <w:lang w:eastAsia="en-US"/>
              </w:rPr>
              <w:fldChar w:fldCharType="separate"/>
            </w:r>
            <w:r w:rsidRPr="00385568">
              <w:rPr>
                <w:rFonts w:ascii="Times New Roman" w:eastAsia="Calibri" w:hAnsi="Times New Roman" w:cs="Times New Roman"/>
                <w:color w:val="000000"/>
                <w:lang w:eastAsia="en-US"/>
              </w:rPr>
              <w:fldChar w:fldCharType="end"/>
            </w:r>
            <w:r w:rsidRPr="00385568">
              <w:rPr>
                <w:rFonts w:ascii="Times New Roman" w:eastAsia="Calibri" w:hAnsi="Times New Roman" w:cs="Times New Roman"/>
                <w:color w:val="000000"/>
                <w:sz w:val="20"/>
                <w:szCs w:val="20"/>
                <w:lang w:eastAsia="en-US"/>
              </w:rPr>
              <w:t xml:space="preserve"> </w:t>
            </w:r>
            <w:r w:rsidRPr="00385568">
              <w:rPr>
                <w:rFonts w:ascii="Times New Roman" w:eastAsia="Calibri" w:hAnsi="Times New Roman" w:cs="Times New Roman"/>
                <w:color w:val="000000"/>
                <w:lang w:eastAsia="en-US"/>
              </w:rPr>
              <w:t>mienie państwowe</w:t>
            </w:r>
          </w:p>
        </w:tc>
        <w:tc>
          <w:tcPr>
            <w:tcW w:w="3461" w:type="dxa"/>
            <w:gridSpan w:val="8"/>
            <w:shd w:val="clear" w:color="auto" w:fill="FFFFFF"/>
          </w:tcPr>
          <w:p w:rsidR="000030E1" w:rsidRPr="00385568" w:rsidRDefault="000030E1" w:rsidP="000030E1">
            <w:pPr>
              <w:spacing w:after="0" w:line="240" w:lineRule="auto"/>
              <w:rPr>
                <w:rFonts w:ascii="Times New Roman" w:eastAsia="Calibri" w:hAnsi="Times New Roman" w:cs="Times New Roman"/>
                <w:color w:val="000000"/>
                <w:lang w:eastAsia="en-US"/>
              </w:rPr>
            </w:pPr>
          </w:p>
          <w:p w:rsidR="000030E1" w:rsidRPr="00385568" w:rsidRDefault="000030E1" w:rsidP="000030E1">
            <w:pPr>
              <w:spacing w:after="0" w:line="240" w:lineRule="auto"/>
              <w:rPr>
                <w:rFonts w:ascii="Times New Roman" w:eastAsia="Calibri" w:hAnsi="Times New Roman" w:cs="Times New Roman"/>
                <w:color w:val="000000"/>
                <w:spacing w:val="-2"/>
                <w:lang w:eastAsia="en-US"/>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900D6F">
              <w:rPr>
                <w:rFonts w:ascii="Times New Roman" w:hAnsi="Times New Roman"/>
                <w:color w:val="000000"/>
              </w:rPr>
            </w:r>
            <w:r w:rsidR="00900D6F">
              <w:rPr>
                <w:rFonts w:ascii="Times New Roman" w:hAnsi="Times New Roman"/>
                <w:color w:val="000000"/>
              </w:rPr>
              <w:fldChar w:fldCharType="separate"/>
            </w:r>
            <w:r>
              <w:rPr>
                <w:rFonts w:ascii="Times New Roman" w:hAnsi="Times New Roman"/>
                <w:color w:val="000000"/>
              </w:rPr>
              <w:fldChar w:fldCharType="end"/>
            </w:r>
            <w:r w:rsidRPr="00385568">
              <w:rPr>
                <w:rFonts w:ascii="Times New Roman" w:eastAsia="Calibri" w:hAnsi="Times New Roman" w:cs="Times New Roman"/>
                <w:color w:val="000000"/>
                <w:sz w:val="20"/>
                <w:szCs w:val="20"/>
                <w:lang w:eastAsia="en-US"/>
              </w:rPr>
              <w:t xml:space="preserve"> </w:t>
            </w:r>
            <w:r w:rsidRPr="00385568">
              <w:rPr>
                <w:rFonts w:ascii="Times New Roman" w:eastAsia="Calibri" w:hAnsi="Times New Roman" w:cs="Times New Roman"/>
                <w:color w:val="000000"/>
                <w:spacing w:val="-2"/>
                <w:lang w:eastAsia="en-US"/>
              </w:rPr>
              <w:t>informatyzacja</w:t>
            </w:r>
          </w:p>
          <w:p w:rsidR="000030E1" w:rsidRPr="00385568" w:rsidRDefault="000030E1" w:rsidP="000030E1">
            <w:pPr>
              <w:spacing w:after="0" w:line="240" w:lineRule="auto"/>
              <w:rPr>
                <w:rFonts w:ascii="Times New Roman" w:eastAsia="Calibri" w:hAnsi="Times New Roman" w:cs="Times New Roman"/>
                <w:color w:val="000000"/>
                <w:lang w:eastAsia="en-US"/>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900D6F">
              <w:rPr>
                <w:rFonts w:ascii="Times New Roman" w:hAnsi="Times New Roman"/>
                <w:color w:val="000000"/>
              </w:rPr>
            </w:r>
            <w:r w:rsidR="00900D6F">
              <w:rPr>
                <w:rFonts w:ascii="Times New Roman" w:hAnsi="Times New Roman"/>
                <w:color w:val="000000"/>
              </w:rPr>
              <w:fldChar w:fldCharType="separate"/>
            </w:r>
            <w:r>
              <w:rPr>
                <w:rFonts w:ascii="Times New Roman" w:hAnsi="Times New Roman"/>
                <w:color w:val="000000"/>
              </w:rPr>
              <w:fldChar w:fldCharType="end"/>
            </w:r>
            <w:r w:rsidRPr="00385568">
              <w:rPr>
                <w:rFonts w:ascii="Times New Roman" w:eastAsia="Calibri" w:hAnsi="Times New Roman" w:cs="Times New Roman"/>
                <w:color w:val="000000"/>
                <w:sz w:val="20"/>
                <w:szCs w:val="20"/>
                <w:lang w:eastAsia="en-US"/>
              </w:rPr>
              <w:t xml:space="preserve"> </w:t>
            </w:r>
            <w:r w:rsidRPr="00385568">
              <w:rPr>
                <w:rFonts w:ascii="Times New Roman" w:eastAsia="Calibri" w:hAnsi="Times New Roman" w:cs="Times New Roman"/>
                <w:color w:val="000000"/>
                <w:spacing w:val="-2"/>
                <w:lang w:eastAsia="en-US"/>
              </w:rPr>
              <w:t>zdrowie</w:t>
            </w:r>
          </w:p>
        </w:tc>
      </w:tr>
      <w:tr w:rsidR="000030E1" w:rsidRPr="00385568" w:rsidTr="00030232">
        <w:trPr>
          <w:trHeight w:val="712"/>
        </w:trPr>
        <w:tc>
          <w:tcPr>
            <w:tcW w:w="1977" w:type="dxa"/>
            <w:gridSpan w:val="2"/>
            <w:shd w:val="clear" w:color="auto" w:fill="FFFFFF"/>
            <w:vAlign w:val="center"/>
          </w:tcPr>
          <w:p w:rsidR="000030E1" w:rsidRPr="00385568" w:rsidRDefault="000030E1" w:rsidP="000030E1">
            <w:pPr>
              <w:spacing w:after="0" w:line="240" w:lineRule="auto"/>
              <w:rPr>
                <w:rFonts w:ascii="Times New Roman" w:eastAsia="Calibri" w:hAnsi="Times New Roman" w:cs="Times New Roman"/>
                <w:color w:val="000000"/>
                <w:lang w:eastAsia="en-US"/>
              </w:rPr>
            </w:pPr>
            <w:r w:rsidRPr="00385568">
              <w:rPr>
                <w:rFonts w:ascii="Times New Roman" w:eastAsia="Calibri" w:hAnsi="Times New Roman" w:cs="Times New Roman"/>
                <w:color w:val="000000"/>
                <w:lang w:eastAsia="en-US"/>
              </w:rPr>
              <w:t>Omówienie wpływu</w:t>
            </w:r>
          </w:p>
        </w:tc>
        <w:tc>
          <w:tcPr>
            <w:tcW w:w="8715" w:type="dxa"/>
            <w:gridSpan w:val="24"/>
            <w:shd w:val="clear" w:color="auto" w:fill="FFFFFF"/>
            <w:vAlign w:val="center"/>
          </w:tcPr>
          <w:p w:rsidR="000030E1" w:rsidRPr="00385568" w:rsidRDefault="000030E1" w:rsidP="00D206A9">
            <w:pPr>
              <w:spacing w:after="0" w:line="240" w:lineRule="auto"/>
              <w:jc w:val="both"/>
              <w:rPr>
                <w:rFonts w:ascii="Times New Roman" w:eastAsia="Calibri" w:hAnsi="Times New Roman" w:cs="Times New Roman"/>
                <w:color w:val="000000"/>
                <w:spacing w:val="-2"/>
                <w:lang w:eastAsia="en-US"/>
              </w:rPr>
            </w:pPr>
            <w:r w:rsidRPr="00E74167">
              <w:rPr>
                <w:rFonts w:ascii="Times New Roman" w:eastAsia="Calibri" w:hAnsi="Times New Roman" w:cs="Times New Roman"/>
                <w:color w:val="000000"/>
                <w:lang w:eastAsia="en-US"/>
              </w:rPr>
              <w:t>Oczekuje się, ż</w:t>
            </w:r>
            <w:r w:rsidR="00476338">
              <w:rPr>
                <w:rFonts w:ascii="Times New Roman" w:eastAsia="Calibri" w:hAnsi="Times New Roman" w:cs="Times New Roman"/>
                <w:color w:val="000000"/>
                <w:lang w:eastAsia="en-US"/>
              </w:rPr>
              <w:t>e</w:t>
            </w:r>
            <w:r w:rsidRPr="00E74167">
              <w:rPr>
                <w:rFonts w:ascii="Times New Roman" w:eastAsia="Calibri" w:hAnsi="Times New Roman" w:cs="Times New Roman"/>
                <w:color w:val="000000"/>
                <w:lang w:eastAsia="en-US"/>
              </w:rPr>
              <w:t xml:space="preserve"> wejście w życie </w:t>
            </w:r>
            <w:r>
              <w:rPr>
                <w:rFonts w:ascii="Times New Roman" w:eastAsia="Calibri" w:hAnsi="Times New Roman" w:cs="Times New Roman"/>
                <w:color w:val="000000"/>
                <w:lang w:eastAsia="en-US"/>
              </w:rPr>
              <w:t>ustawy o systemie monitorowania drogowego przewozu towarów</w:t>
            </w:r>
            <w:r w:rsidR="00EB1333">
              <w:rPr>
                <w:rFonts w:ascii="Times New Roman" w:eastAsia="Calibri" w:hAnsi="Times New Roman" w:cs="Times New Roman"/>
                <w:color w:val="000000"/>
                <w:lang w:eastAsia="en-US"/>
              </w:rPr>
              <w:t xml:space="preserve"> i projektowanego rozporządzenia,</w:t>
            </w:r>
            <w:r w:rsidR="00302C1C">
              <w:rPr>
                <w:rFonts w:ascii="Times New Roman" w:eastAsia="Calibri" w:hAnsi="Times New Roman" w:cs="Times New Roman"/>
                <w:color w:val="000000"/>
                <w:lang w:eastAsia="en-US"/>
              </w:rPr>
              <w:t xml:space="preserve"> poprzez możliwość lepszego typowania do kontroli, przyczyni się do</w:t>
            </w:r>
            <w:r>
              <w:rPr>
                <w:rFonts w:ascii="Times New Roman" w:eastAsia="Calibri" w:hAnsi="Times New Roman" w:cs="Times New Roman"/>
                <w:color w:val="000000"/>
                <w:lang w:eastAsia="en-US"/>
              </w:rPr>
              <w:t xml:space="preserve"> uszczelni</w:t>
            </w:r>
            <w:r w:rsidR="00302C1C">
              <w:rPr>
                <w:rFonts w:ascii="Times New Roman" w:eastAsia="Calibri" w:hAnsi="Times New Roman" w:cs="Times New Roman"/>
                <w:color w:val="000000"/>
                <w:lang w:eastAsia="en-US"/>
              </w:rPr>
              <w:t>enia</w:t>
            </w:r>
            <w:r>
              <w:rPr>
                <w:rFonts w:ascii="Times New Roman" w:eastAsia="Calibri" w:hAnsi="Times New Roman" w:cs="Times New Roman"/>
                <w:color w:val="000000"/>
                <w:lang w:eastAsia="en-US"/>
              </w:rPr>
              <w:t xml:space="preserve"> system</w:t>
            </w:r>
            <w:r w:rsidR="00302C1C">
              <w:rPr>
                <w:rFonts w:ascii="Times New Roman" w:eastAsia="Calibri" w:hAnsi="Times New Roman" w:cs="Times New Roman"/>
                <w:color w:val="000000"/>
                <w:lang w:eastAsia="en-US"/>
              </w:rPr>
              <w:t>u podatkowego</w:t>
            </w:r>
            <w:r>
              <w:rPr>
                <w:rFonts w:ascii="Times New Roman" w:eastAsia="Calibri" w:hAnsi="Times New Roman" w:cs="Times New Roman"/>
                <w:color w:val="000000"/>
                <w:lang w:eastAsia="en-US"/>
              </w:rPr>
              <w:t xml:space="preserve"> w zakresie dochodów budżetu </w:t>
            </w:r>
            <w:r w:rsidR="000F067F">
              <w:rPr>
                <w:rFonts w:ascii="Times New Roman" w:eastAsia="Calibri" w:hAnsi="Times New Roman" w:cs="Times New Roman"/>
                <w:color w:val="000000"/>
                <w:lang w:eastAsia="en-US"/>
              </w:rPr>
              <w:t>p</w:t>
            </w:r>
            <w:r>
              <w:rPr>
                <w:rFonts w:ascii="Times New Roman" w:eastAsia="Calibri" w:hAnsi="Times New Roman" w:cs="Times New Roman"/>
                <w:color w:val="000000"/>
                <w:lang w:eastAsia="en-US"/>
              </w:rPr>
              <w:t>aństwa z</w:t>
            </w:r>
            <w:r w:rsidR="00D206A9">
              <w:rPr>
                <w:rFonts w:ascii="Times New Roman" w:eastAsia="Calibri" w:hAnsi="Times New Roman" w:cs="Times New Roman"/>
                <w:color w:val="000000"/>
                <w:lang w:eastAsia="en-US"/>
              </w:rPr>
              <w:t> </w:t>
            </w:r>
            <w:r>
              <w:rPr>
                <w:rFonts w:ascii="Times New Roman" w:eastAsia="Calibri" w:hAnsi="Times New Roman" w:cs="Times New Roman"/>
                <w:color w:val="000000"/>
                <w:lang w:eastAsia="en-US"/>
              </w:rPr>
              <w:t>tytułu podatku od towarów i</w:t>
            </w:r>
            <w:r w:rsidR="00476338">
              <w:rPr>
                <w:rFonts w:ascii="Times New Roman" w:eastAsia="Calibri" w:hAnsi="Times New Roman" w:cs="Times New Roman"/>
                <w:color w:val="000000"/>
                <w:lang w:eastAsia="en-US"/>
              </w:rPr>
              <w:t> </w:t>
            </w:r>
            <w:r>
              <w:rPr>
                <w:rFonts w:ascii="Times New Roman" w:eastAsia="Calibri" w:hAnsi="Times New Roman" w:cs="Times New Roman"/>
                <w:color w:val="000000"/>
                <w:lang w:eastAsia="en-US"/>
              </w:rPr>
              <w:t xml:space="preserve">usług oraz podatku akcyzowego. Skumulowany efekt wprowadzenia ustawy w ciągu 10 lat może przynieść ponad </w:t>
            </w:r>
            <w:r w:rsidR="00302C1C" w:rsidRPr="00302C1C">
              <w:rPr>
                <w:rFonts w:ascii="Times New Roman" w:eastAsia="Calibri" w:hAnsi="Times New Roman" w:cs="Times New Roman"/>
                <w:color w:val="000000"/>
                <w:lang w:eastAsia="en-US"/>
              </w:rPr>
              <w:t xml:space="preserve">108 467,5 mln </w:t>
            </w:r>
            <w:r>
              <w:rPr>
                <w:rFonts w:ascii="Times New Roman" w:eastAsia="Calibri" w:hAnsi="Times New Roman" w:cs="Times New Roman"/>
                <w:color w:val="000000"/>
                <w:lang w:eastAsia="en-US"/>
              </w:rPr>
              <w:t>zł dodatkowych dochodów budżetowych z tytułu podatku od towarów i usług.</w:t>
            </w:r>
          </w:p>
        </w:tc>
      </w:tr>
      <w:tr w:rsidR="000030E1" w:rsidRPr="00385568" w:rsidTr="00030232">
        <w:trPr>
          <w:trHeight w:val="142"/>
        </w:trPr>
        <w:tc>
          <w:tcPr>
            <w:tcW w:w="10692" w:type="dxa"/>
            <w:gridSpan w:val="26"/>
            <w:shd w:val="clear" w:color="auto" w:fill="99CCFF"/>
          </w:tcPr>
          <w:p w:rsidR="000030E1" w:rsidRPr="00385568" w:rsidRDefault="000030E1" w:rsidP="000030E1">
            <w:pPr>
              <w:numPr>
                <w:ilvl w:val="0"/>
                <w:numId w:val="9"/>
              </w:numPr>
              <w:spacing w:before="60" w:after="60" w:line="240" w:lineRule="auto"/>
              <w:ind w:left="318" w:hanging="284"/>
              <w:jc w:val="both"/>
              <w:rPr>
                <w:rFonts w:ascii="Times New Roman" w:eastAsia="Calibri" w:hAnsi="Times New Roman" w:cs="Times New Roman"/>
                <w:b/>
                <w:lang w:eastAsia="en-US"/>
              </w:rPr>
            </w:pPr>
            <w:r w:rsidRPr="00385568">
              <w:rPr>
                <w:rFonts w:ascii="Times New Roman" w:eastAsia="Calibri" w:hAnsi="Times New Roman" w:cs="Times New Roman"/>
                <w:b/>
                <w:spacing w:val="-2"/>
                <w:sz w:val="21"/>
                <w:szCs w:val="21"/>
                <w:lang w:eastAsia="en-US"/>
              </w:rPr>
              <w:t>Planowane wykonanie przepisów aktu prawnego</w:t>
            </w:r>
          </w:p>
        </w:tc>
      </w:tr>
      <w:tr w:rsidR="000030E1" w:rsidRPr="00385568" w:rsidTr="00030232">
        <w:trPr>
          <w:trHeight w:val="142"/>
        </w:trPr>
        <w:tc>
          <w:tcPr>
            <w:tcW w:w="10692" w:type="dxa"/>
            <w:gridSpan w:val="26"/>
            <w:shd w:val="clear" w:color="auto" w:fill="FFFFFF"/>
          </w:tcPr>
          <w:p w:rsidR="000030E1" w:rsidRPr="00385568" w:rsidRDefault="007342CC" w:rsidP="00476338">
            <w:pPr>
              <w:spacing w:after="0" w:line="240" w:lineRule="auto"/>
              <w:jc w:val="both"/>
              <w:rPr>
                <w:rFonts w:ascii="Times New Roman" w:eastAsia="Calibri" w:hAnsi="Times New Roman" w:cs="Times New Roman"/>
                <w:spacing w:val="-2"/>
                <w:lang w:eastAsia="en-US"/>
              </w:rPr>
            </w:pPr>
            <w:r>
              <w:rPr>
                <w:rFonts w:ascii="Times New Roman" w:eastAsia="Calibri" w:hAnsi="Times New Roman" w:cs="Times New Roman"/>
                <w:spacing w:val="-2"/>
                <w:lang w:eastAsia="en-US"/>
              </w:rPr>
              <w:t>Rozporządzenie</w:t>
            </w:r>
            <w:r w:rsidR="000030E1" w:rsidRPr="00385568">
              <w:rPr>
                <w:rFonts w:ascii="Times New Roman" w:eastAsia="Calibri" w:hAnsi="Times New Roman" w:cs="Times New Roman"/>
                <w:spacing w:val="-2"/>
                <w:lang w:eastAsia="en-US"/>
              </w:rPr>
              <w:t xml:space="preserve"> wejdzie w życie </w:t>
            </w:r>
            <w:r w:rsidR="000030E1">
              <w:rPr>
                <w:rFonts w:ascii="Times New Roman" w:eastAsia="Calibri" w:hAnsi="Times New Roman" w:cs="Times New Roman"/>
                <w:spacing w:val="-2"/>
                <w:lang w:eastAsia="en-US"/>
              </w:rPr>
              <w:t>z dniem 1 s</w:t>
            </w:r>
            <w:r>
              <w:rPr>
                <w:rFonts w:ascii="Times New Roman" w:eastAsia="Calibri" w:hAnsi="Times New Roman" w:cs="Times New Roman"/>
                <w:spacing w:val="-2"/>
                <w:lang w:eastAsia="en-US"/>
              </w:rPr>
              <w:t>tycznia 2017 r.</w:t>
            </w:r>
          </w:p>
        </w:tc>
      </w:tr>
      <w:tr w:rsidR="000030E1" w:rsidRPr="00385568" w:rsidTr="00030232">
        <w:trPr>
          <w:trHeight w:val="142"/>
        </w:trPr>
        <w:tc>
          <w:tcPr>
            <w:tcW w:w="10692" w:type="dxa"/>
            <w:gridSpan w:val="26"/>
            <w:shd w:val="clear" w:color="auto" w:fill="99CCFF"/>
          </w:tcPr>
          <w:p w:rsidR="000030E1" w:rsidRPr="00385568" w:rsidRDefault="000030E1" w:rsidP="000030E1">
            <w:pPr>
              <w:numPr>
                <w:ilvl w:val="0"/>
                <w:numId w:val="9"/>
              </w:numPr>
              <w:spacing w:before="60" w:after="60" w:line="240" w:lineRule="auto"/>
              <w:ind w:left="318" w:hanging="284"/>
              <w:jc w:val="both"/>
              <w:rPr>
                <w:rFonts w:ascii="Times New Roman" w:eastAsia="Calibri" w:hAnsi="Times New Roman" w:cs="Times New Roman"/>
                <w:b/>
                <w:color w:val="000000"/>
                <w:lang w:eastAsia="en-US"/>
              </w:rPr>
            </w:pPr>
            <w:r w:rsidRPr="00385568">
              <w:rPr>
                <w:rFonts w:ascii="Times New Roman" w:eastAsia="Calibri" w:hAnsi="Times New Roman" w:cs="Times New Roman"/>
                <w:b/>
                <w:color w:val="000000"/>
                <w:lang w:eastAsia="en-US"/>
              </w:rPr>
              <w:t xml:space="preserve"> </w:t>
            </w:r>
            <w:r w:rsidRPr="00385568">
              <w:rPr>
                <w:rFonts w:ascii="Times New Roman" w:eastAsia="Calibri" w:hAnsi="Times New Roman" w:cs="Times New Roman"/>
                <w:b/>
                <w:spacing w:val="-2"/>
                <w:sz w:val="21"/>
                <w:szCs w:val="21"/>
                <w:lang w:eastAsia="en-US"/>
              </w:rPr>
              <w:t>W jaki sposób i kiedy nastąpi ewaluacja efektów projektu oraz jakie mierniki zostaną zastosowane?</w:t>
            </w:r>
          </w:p>
        </w:tc>
      </w:tr>
      <w:tr w:rsidR="000030E1" w:rsidRPr="00385568" w:rsidTr="00030232">
        <w:trPr>
          <w:trHeight w:val="142"/>
        </w:trPr>
        <w:tc>
          <w:tcPr>
            <w:tcW w:w="10692" w:type="dxa"/>
            <w:gridSpan w:val="26"/>
            <w:shd w:val="clear" w:color="auto" w:fill="FFFFFF"/>
          </w:tcPr>
          <w:p w:rsidR="000030E1" w:rsidRPr="00385568" w:rsidRDefault="007342CC" w:rsidP="00D206A9">
            <w:pPr>
              <w:spacing w:after="0" w:line="240" w:lineRule="auto"/>
              <w:jc w:val="both"/>
              <w:rPr>
                <w:rFonts w:ascii="Times New Roman" w:eastAsia="Calibri" w:hAnsi="Times New Roman" w:cs="Times New Roman"/>
                <w:color w:val="000000"/>
                <w:spacing w:val="-2"/>
                <w:lang w:eastAsia="en-US"/>
              </w:rPr>
            </w:pPr>
            <w:r>
              <w:rPr>
                <w:rFonts w:ascii="Times New Roman" w:eastAsia="Calibri" w:hAnsi="Times New Roman" w:cs="Times New Roman"/>
                <w:color w:val="000000"/>
                <w:spacing w:val="-2"/>
                <w:lang w:eastAsia="en-US"/>
              </w:rPr>
              <w:lastRenderedPageBreak/>
              <w:t>E</w:t>
            </w:r>
            <w:r w:rsidR="000030E1">
              <w:rPr>
                <w:rFonts w:ascii="Times New Roman" w:eastAsia="Calibri" w:hAnsi="Times New Roman" w:cs="Times New Roman"/>
                <w:color w:val="000000"/>
                <w:spacing w:val="-2"/>
                <w:lang w:eastAsia="en-US"/>
              </w:rPr>
              <w:t>waluacja</w:t>
            </w:r>
            <w:r>
              <w:rPr>
                <w:rFonts w:ascii="Times New Roman" w:eastAsia="Calibri" w:hAnsi="Times New Roman" w:cs="Times New Roman"/>
                <w:color w:val="000000"/>
                <w:spacing w:val="-2"/>
                <w:lang w:eastAsia="en-US"/>
              </w:rPr>
              <w:t xml:space="preserve"> tego rozporządzenia zostanie przeprowadzona łącznie z ustawą </w:t>
            </w:r>
            <w:r w:rsidRPr="007342CC">
              <w:rPr>
                <w:rFonts w:ascii="Times New Roman" w:eastAsia="Calibri" w:hAnsi="Times New Roman" w:cs="Times New Roman"/>
                <w:color w:val="000000"/>
                <w:spacing w:val="-2"/>
                <w:lang w:eastAsia="en-US"/>
              </w:rPr>
              <w:t>o systemie monitorowania drogowego przewozu towarów</w:t>
            </w:r>
            <w:r w:rsidR="000030E1">
              <w:rPr>
                <w:rFonts w:ascii="Times New Roman" w:eastAsia="Calibri" w:hAnsi="Times New Roman" w:cs="Times New Roman"/>
                <w:color w:val="000000"/>
                <w:spacing w:val="-2"/>
                <w:lang w:eastAsia="en-US"/>
              </w:rPr>
              <w:t xml:space="preserve"> </w:t>
            </w:r>
            <w:r>
              <w:rPr>
                <w:rFonts w:ascii="Times New Roman" w:eastAsia="Calibri" w:hAnsi="Times New Roman" w:cs="Times New Roman"/>
                <w:color w:val="000000"/>
                <w:spacing w:val="-2"/>
                <w:lang w:eastAsia="en-US"/>
              </w:rPr>
              <w:t>po roku</w:t>
            </w:r>
            <w:r w:rsidR="000030E1">
              <w:rPr>
                <w:rFonts w:ascii="Times New Roman" w:eastAsia="Calibri" w:hAnsi="Times New Roman" w:cs="Times New Roman"/>
                <w:color w:val="000000"/>
                <w:spacing w:val="-2"/>
                <w:lang w:eastAsia="en-US"/>
              </w:rPr>
              <w:t xml:space="preserve"> obowiązywania. Jest</w:t>
            </w:r>
            <w:r w:rsidR="005D3BDD">
              <w:rPr>
                <w:rFonts w:ascii="Times New Roman" w:eastAsia="Calibri" w:hAnsi="Times New Roman" w:cs="Times New Roman"/>
                <w:color w:val="000000"/>
                <w:spacing w:val="-2"/>
                <w:lang w:eastAsia="en-US"/>
              </w:rPr>
              <w:t> </w:t>
            </w:r>
            <w:r w:rsidR="000030E1">
              <w:rPr>
                <w:rFonts w:ascii="Times New Roman" w:eastAsia="Calibri" w:hAnsi="Times New Roman" w:cs="Times New Roman"/>
                <w:color w:val="000000"/>
                <w:spacing w:val="-2"/>
                <w:lang w:eastAsia="en-US"/>
              </w:rPr>
              <w:t>to również warunkowane potrzebą wykorzystania wniosków przy projektowaniu i</w:t>
            </w:r>
            <w:r w:rsidR="00D206A9">
              <w:rPr>
                <w:rFonts w:ascii="Times New Roman" w:eastAsia="Calibri" w:hAnsi="Times New Roman" w:cs="Times New Roman"/>
                <w:color w:val="000000"/>
                <w:spacing w:val="-2"/>
                <w:lang w:eastAsia="en-US"/>
              </w:rPr>
              <w:t> </w:t>
            </w:r>
            <w:r w:rsidR="000030E1">
              <w:rPr>
                <w:rFonts w:ascii="Times New Roman" w:eastAsia="Calibri" w:hAnsi="Times New Roman" w:cs="Times New Roman"/>
                <w:color w:val="000000"/>
                <w:spacing w:val="-2"/>
                <w:lang w:eastAsia="en-US"/>
              </w:rPr>
              <w:t>budowie systemu track&amp;trace,</w:t>
            </w:r>
            <w:r w:rsidR="000030E1">
              <w:t xml:space="preserve"> </w:t>
            </w:r>
            <w:r w:rsidR="000030E1">
              <w:rPr>
                <w:rFonts w:ascii="Times New Roman" w:eastAsia="Calibri" w:hAnsi="Times New Roman" w:cs="Times New Roman"/>
                <w:color w:val="000000"/>
                <w:spacing w:val="-2"/>
                <w:lang w:eastAsia="en-US"/>
              </w:rPr>
              <w:t>który ma być</w:t>
            </w:r>
            <w:r w:rsidR="000030E1" w:rsidRPr="00076125">
              <w:rPr>
                <w:rFonts w:ascii="Times New Roman" w:eastAsia="Calibri" w:hAnsi="Times New Roman" w:cs="Times New Roman"/>
                <w:color w:val="000000"/>
                <w:spacing w:val="-2"/>
                <w:lang w:eastAsia="en-US"/>
              </w:rPr>
              <w:t xml:space="preserve"> wdroż</w:t>
            </w:r>
            <w:r w:rsidR="000030E1">
              <w:rPr>
                <w:rFonts w:ascii="Times New Roman" w:eastAsia="Calibri" w:hAnsi="Times New Roman" w:cs="Times New Roman"/>
                <w:color w:val="000000"/>
                <w:spacing w:val="-2"/>
                <w:lang w:eastAsia="en-US"/>
              </w:rPr>
              <w:t>ony</w:t>
            </w:r>
            <w:r w:rsidR="000030E1" w:rsidRPr="00076125">
              <w:rPr>
                <w:rFonts w:ascii="Times New Roman" w:eastAsia="Calibri" w:hAnsi="Times New Roman" w:cs="Times New Roman"/>
                <w:color w:val="000000"/>
                <w:spacing w:val="-2"/>
                <w:lang w:eastAsia="en-US"/>
              </w:rPr>
              <w:t xml:space="preserve"> w 2019 r. przy produkcji i przesyłaniu wyrobów tytoniowych, </w:t>
            </w:r>
            <w:r w:rsidR="000030E1">
              <w:rPr>
                <w:rFonts w:ascii="Times New Roman" w:eastAsia="Calibri" w:hAnsi="Times New Roman" w:cs="Times New Roman"/>
                <w:color w:val="000000"/>
                <w:spacing w:val="-2"/>
                <w:lang w:eastAsia="en-US"/>
              </w:rPr>
              <w:t>co</w:t>
            </w:r>
            <w:r w:rsidR="00D206A9">
              <w:rPr>
                <w:rFonts w:ascii="Times New Roman" w:eastAsia="Calibri" w:hAnsi="Times New Roman" w:cs="Times New Roman"/>
                <w:color w:val="000000"/>
                <w:spacing w:val="-2"/>
                <w:lang w:eastAsia="en-US"/>
              </w:rPr>
              <w:t> </w:t>
            </w:r>
            <w:r w:rsidR="000030E1" w:rsidRPr="00076125">
              <w:rPr>
                <w:rFonts w:ascii="Times New Roman" w:eastAsia="Calibri" w:hAnsi="Times New Roman" w:cs="Times New Roman"/>
                <w:color w:val="000000"/>
                <w:spacing w:val="-2"/>
                <w:lang w:eastAsia="en-US"/>
              </w:rPr>
              <w:t>wynika z</w:t>
            </w:r>
            <w:r w:rsidR="000030E1">
              <w:rPr>
                <w:rFonts w:ascii="Times New Roman" w:eastAsia="Calibri" w:hAnsi="Times New Roman" w:cs="Times New Roman"/>
                <w:color w:val="000000"/>
                <w:spacing w:val="-2"/>
                <w:lang w:eastAsia="en-US"/>
              </w:rPr>
              <w:t xml:space="preserve"> wymogów</w:t>
            </w:r>
            <w:r w:rsidR="000030E1" w:rsidRPr="00076125">
              <w:rPr>
                <w:rFonts w:ascii="Times New Roman" w:eastAsia="Calibri" w:hAnsi="Times New Roman" w:cs="Times New Roman"/>
                <w:color w:val="000000"/>
                <w:spacing w:val="-2"/>
                <w:lang w:eastAsia="en-US"/>
              </w:rPr>
              <w:t xml:space="preserve"> unijnej Dyrektywy Tytoniowej.</w:t>
            </w:r>
          </w:p>
        </w:tc>
      </w:tr>
      <w:tr w:rsidR="000030E1" w:rsidRPr="00385568" w:rsidTr="00030232">
        <w:trPr>
          <w:trHeight w:val="142"/>
        </w:trPr>
        <w:tc>
          <w:tcPr>
            <w:tcW w:w="10692" w:type="dxa"/>
            <w:gridSpan w:val="26"/>
            <w:shd w:val="clear" w:color="auto" w:fill="99CCFF"/>
          </w:tcPr>
          <w:p w:rsidR="000030E1" w:rsidRPr="00385568" w:rsidRDefault="000030E1" w:rsidP="000030E1">
            <w:pPr>
              <w:numPr>
                <w:ilvl w:val="0"/>
                <w:numId w:val="9"/>
              </w:numPr>
              <w:spacing w:before="60" w:after="60" w:line="240" w:lineRule="auto"/>
              <w:ind w:left="318" w:hanging="284"/>
              <w:jc w:val="both"/>
              <w:rPr>
                <w:rFonts w:ascii="Times New Roman" w:eastAsia="Calibri" w:hAnsi="Times New Roman" w:cs="Times New Roman"/>
                <w:b/>
                <w:color w:val="000000"/>
                <w:spacing w:val="-2"/>
                <w:lang w:eastAsia="en-US"/>
              </w:rPr>
            </w:pPr>
            <w:r w:rsidRPr="00385568">
              <w:rPr>
                <w:rFonts w:ascii="Times New Roman" w:eastAsia="Calibri" w:hAnsi="Times New Roman" w:cs="Times New Roman"/>
                <w:b/>
                <w:color w:val="000000"/>
                <w:spacing w:val="-2"/>
                <w:lang w:eastAsia="en-US"/>
              </w:rPr>
              <w:t xml:space="preserve">Załączniki </w:t>
            </w:r>
            <w:r w:rsidRPr="00385568">
              <w:rPr>
                <w:rFonts w:ascii="Times New Roman" w:eastAsia="Calibri" w:hAnsi="Times New Roman" w:cs="Times New Roman"/>
                <w:b/>
                <w:spacing w:val="-2"/>
                <w:sz w:val="21"/>
                <w:szCs w:val="21"/>
                <w:lang w:eastAsia="en-US"/>
              </w:rPr>
              <w:t>(istotne dokumenty źródłowe, badania, analizy itp.</w:t>
            </w:r>
            <w:r w:rsidRPr="00385568">
              <w:rPr>
                <w:rFonts w:ascii="Times New Roman" w:eastAsia="Calibri" w:hAnsi="Times New Roman" w:cs="Times New Roman"/>
                <w:b/>
                <w:color w:val="000000"/>
                <w:spacing w:val="-2"/>
                <w:lang w:eastAsia="en-US"/>
              </w:rPr>
              <w:t xml:space="preserve">) </w:t>
            </w:r>
          </w:p>
        </w:tc>
      </w:tr>
      <w:tr w:rsidR="000030E1" w:rsidRPr="00385568" w:rsidTr="00030232">
        <w:trPr>
          <w:trHeight w:val="142"/>
        </w:trPr>
        <w:tc>
          <w:tcPr>
            <w:tcW w:w="10692" w:type="dxa"/>
            <w:gridSpan w:val="26"/>
            <w:shd w:val="clear" w:color="auto" w:fill="FFFFFF"/>
          </w:tcPr>
          <w:p w:rsidR="000030E1" w:rsidRPr="00385568" w:rsidRDefault="000030E1" w:rsidP="000030E1">
            <w:pPr>
              <w:spacing w:after="0" w:line="240" w:lineRule="auto"/>
              <w:jc w:val="both"/>
              <w:rPr>
                <w:rFonts w:ascii="Times New Roman" w:eastAsia="Calibri" w:hAnsi="Times New Roman" w:cs="Times New Roman"/>
                <w:color w:val="000000"/>
                <w:spacing w:val="-2"/>
                <w:lang w:eastAsia="en-US"/>
              </w:rPr>
            </w:pPr>
          </w:p>
        </w:tc>
      </w:tr>
    </w:tbl>
    <w:p w:rsidR="00B055E7" w:rsidRDefault="00B055E7" w:rsidP="003D33D5">
      <w:pPr>
        <w:spacing w:after="0" w:line="360" w:lineRule="auto"/>
        <w:rPr>
          <w:rFonts w:ascii="Times New Roman" w:eastAsia="Times New Roman" w:hAnsi="Times New Roman" w:cs="Times New Roman"/>
          <w:b/>
          <w:bCs/>
          <w:sz w:val="24"/>
          <w:szCs w:val="24"/>
        </w:rPr>
      </w:pPr>
    </w:p>
    <w:sectPr w:rsidR="00B055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AC" w:rsidRDefault="007179AC" w:rsidP="007632BF">
      <w:pPr>
        <w:spacing w:after="0" w:line="240" w:lineRule="auto"/>
      </w:pPr>
      <w:r>
        <w:separator/>
      </w:r>
    </w:p>
  </w:endnote>
  <w:endnote w:type="continuationSeparator" w:id="0">
    <w:p w:rsidR="007179AC" w:rsidRDefault="007179AC" w:rsidP="0076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AC" w:rsidRDefault="007179AC" w:rsidP="007632BF">
      <w:pPr>
        <w:spacing w:after="0" w:line="240" w:lineRule="auto"/>
      </w:pPr>
      <w:r>
        <w:separator/>
      </w:r>
    </w:p>
  </w:footnote>
  <w:footnote w:type="continuationSeparator" w:id="0">
    <w:p w:rsidR="007179AC" w:rsidRDefault="007179AC" w:rsidP="00763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F6D"/>
    <w:multiLevelType w:val="hybridMultilevel"/>
    <w:tmpl w:val="F9AC0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114F4A"/>
    <w:multiLevelType w:val="hybridMultilevel"/>
    <w:tmpl w:val="37E8428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8C28AF"/>
    <w:multiLevelType w:val="hybridMultilevel"/>
    <w:tmpl w:val="5728F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837D8"/>
    <w:multiLevelType w:val="hybridMultilevel"/>
    <w:tmpl w:val="DF6CE920"/>
    <w:lvl w:ilvl="0" w:tplc="89667B4A">
      <w:start w:val="1"/>
      <w:numFmt w:val="lowerLetter"/>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4" w15:restartNumberingAfterBreak="0">
    <w:nsid w:val="213F2C60"/>
    <w:multiLevelType w:val="multilevel"/>
    <w:tmpl w:val="268AE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07D47"/>
    <w:multiLevelType w:val="hybridMultilevel"/>
    <w:tmpl w:val="CB2C0EC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B2C014D"/>
    <w:multiLevelType w:val="hybridMultilevel"/>
    <w:tmpl w:val="144AB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314283"/>
    <w:multiLevelType w:val="hybridMultilevel"/>
    <w:tmpl w:val="3BF81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265740"/>
    <w:multiLevelType w:val="hybridMultilevel"/>
    <w:tmpl w:val="F6E2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2B6A46"/>
    <w:multiLevelType w:val="hybridMultilevel"/>
    <w:tmpl w:val="977E57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E07661"/>
    <w:multiLevelType w:val="hybridMultilevel"/>
    <w:tmpl w:val="3830EF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E96572"/>
    <w:multiLevelType w:val="hybridMultilevel"/>
    <w:tmpl w:val="35D8ECA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787827"/>
    <w:multiLevelType w:val="hybridMultilevel"/>
    <w:tmpl w:val="72581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9"/>
  </w:num>
  <w:num w:numId="7">
    <w:abstractNumId w:val="10"/>
  </w:num>
  <w:num w:numId="8">
    <w:abstractNumId w:val="5"/>
  </w:num>
  <w:num w:numId="9">
    <w:abstractNumId w:val="7"/>
  </w:num>
  <w:num w:numId="10">
    <w:abstractNumId w:val="0"/>
  </w:num>
  <w:num w:numId="11">
    <w:abstractNumId w:val="6"/>
  </w:num>
  <w:num w:numId="12">
    <w:abstractNumId w:val="13"/>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A1"/>
    <w:rsid w:val="000030E1"/>
    <w:rsid w:val="00010015"/>
    <w:rsid w:val="000201AE"/>
    <w:rsid w:val="000214D3"/>
    <w:rsid w:val="00030232"/>
    <w:rsid w:val="00030E3D"/>
    <w:rsid w:val="00042839"/>
    <w:rsid w:val="000455FA"/>
    <w:rsid w:val="00045E47"/>
    <w:rsid w:val="00055B5D"/>
    <w:rsid w:val="00076125"/>
    <w:rsid w:val="00083951"/>
    <w:rsid w:val="00083DDC"/>
    <w:rsid w:val="00092FE5"/>
    <w:rsid w:val="000968B0"/>
    <w:rsid w:val="00096AA4"/>
    <w:rsid w:val="0009766A"/>
    <w:rsid w:val="000A43DD"/>
    <w:rsid w:val="000B07D8"/>
    <w:rsid w:val="000C3FEF"/>
    <w:rsid w:val="000D205A"/>
    <w:rsid w:val="000D3AB2"/>
    <w:rsid w:val="000D6382"/>
    <w:rsid w:val="000F049D"/>
    <w:rsid w:val="000F067F"/>
    <w:rsid w:val="000F0786"/>
    <w:rsid w:val="000F2FC5"/>
    <w:rsid w:val="000F33E0"/>
    <w:rsid w:val="001509B8"/>
    <w:rsid w:val="00151807"/>
    <w:rsid w:val="00153CDC"/>
    <w:rsid w:val="00154386"/>
    <w:rsid w:val="0017785E"/>
    <w:rsid w:val="00180B1D"/>
    <w:rsid w:val="001912D8"/>
    <w:rsid w:val="001929B3"/>
    <w:rsid w:val="001A042E"/>
    <w:rsid w:val="001B0A67"/>
    <w:rsid w:val="001B7196"/>
    <w:rsid w:val="001C6FB5"/>
    <w:rsid w:val="001C72EC"/>
    <w:rsid w:val="001D26D6"/>
    <w:rsid w:val="001D624A"/>
    <w:rsid w:val="00207803"/>
    <w:rsid w:val="00222D69"/>
    <w:rsid w:val="002263DA"/>
    <w:rsid w:val="00231D1F"/>
    <w:rsid w:val="00245516"/>
    <w:rsid w:val="0025679A"/>
    <w:rsid w:val="002761A2"/>
    <w:rsid w:val="00287348"/>
    <w:rsid w:val="00287E82"/>
    <w:rsid w:val="0029176C"/>
    <w:rsid w:val="00296286"/>
    <w:rsid w:val="002A094F"/>
    <w:rsid w:val="002A4BC7"/>
    <w:rsid w:val="002A5630"/>
    <w:rsid w:val="002B3FB4"/>
    <w:rsid w:val="002C0710"/>
    <w:rsid w:val="002C167C"/>
    <w:rsid w:val="002C4FCB"/>
    <w:rsid w:val="002C7290"/>
    <w:rsid w:val="002E5622"/>
    <w:rsid w:val="00302C1C"/>
    <w:rsid w:val="00312F1A"/>
    <w:rsid w:val="003201D9"/>
    <w:rsid w:val="003448BF"/>
    <w:rsid w:val="00354E34"/>
    <w:rsid w:val="00385568"/>
    <w:rsid w:val="00390690"/>
    <w:rsid w:val="003907CA"/>
    <w:rsid w:val="00394D8F"/>
    <w:rsid w:val="003A13C3"/>
    <w:rsid w:val="003B59CE"/>
    <w:rsid w:val="003C243A"/>
    <w:rsid w:val="003C2825"/>
    <w:rsid w:val="003C34D8"/>
    <w:rsid w:val="003C4B81"/>
    <w:rsid w:val="003C71ED"/>
    <w:rsid w:val="003D33D5"/>
    <w:rsid w:val="003D6587"/>
    <w:rsid w:val="003D7BA6"/>
    <w:rsid w:val="003D7F28"/>
    <w:rsid w:val="003F281D"/>
    <w:rsid w:val="004114F7"/>
    <w:rsid w:val="004208F2"/>
    <w:rsid w:val="004233A6"/>
    <w:rsid w:val="004320EF"/>
    <w:rsid w:val="0043268E"/>
    <w:rsid w:val="004429F6"/>
    <w:rsid w:val="00442FBD"/>
    <w:rsid w:val="0044405B"/>
    <w:rsid w:val="00445DD9"/>
    <w:rsid w:val="00447C9A"/>
    <w:rsid w:val="00452AE4"/>
    <w:rsid w:val="0045368F"/>
    <w:rsid w:val="00462AAE"/>
    <w:rsid w:val="00462D00"/>
    <w:rsid w:val="00466B34"/>
    <w:rsid w:val="00466E18"/>
    <w:rsid w:val="00476338"/>
    <w:rsid w:val="004838AB"/>
    <w:rsid w:val="0049122A"/>
    <w:rsid w:val="00497FF8"/>
    <w:rsid w:val="004A0E8D"/>
    <w:rsid w:val="004B1A9B"/>
    <w:rsid w:val="004B63FE"/>
    <w:rsid w:val="004C008B"/>
    <w:rsid w:val="004C53A8"/>
    <w:rsid w:val="004D1FA6"/>
    <w:rsid w:val="004E1BB6"/>
    <w:rsid w:val="00504A90"/>
    <w:rsid w:val="005059CF"/>
    <w:rsid w:val="0053277E"/>
    <w:rsid w:val="0053457E"/>
    <w:rsid w:val="00541561"/>
    <w:rsid w:val="00541DAB"/>
    <w:rsid w:val="0054691C"/>
    <w:rsid w:val="00560DAC"/>
    <w:rsid w:val="00575FB7"/>
    <w:rsid w:val="005851E4"/>
    <w:rsid w:val="00597AF8"/>
    <w:rsid w:val="005A631A"/>
    <w:rsid w:val="005C3AEE"/>
    <w:rsid w:val="005C5E7E"/>
    <w:rsid w:val="005C723D"/>
    <w:rsid w:val="005D3BDD"/>
    <w:rsid w:val="005D569B"/>
    <w:rsid w:val="005D7F83"/>
    <w:rsid w:val="005E07E3"/>
    <w:rsid w:val="005E1544"/>
    <w:rsid w:val="005E578B"/>
    <w:rsid w:val="005E7164"/>
    <w:rsid w:val="00602D67"/>
    <w:rsid w:val="00603243"/>
    <w:rsid w:val="00616787"/>
    <w:rsid w:val="006278D6"/>
    <w:rsid w:val="006311CE"/>
    <w:rsid w:val="006545EE"/>
    <w:rsid w:val="00662961"/>
    <w:rsid w:val="00667BC9"/>
    <w:rsid w:val="00684F6C"/>
    <w:rsid w:val="006912FE"/>
    <w:rsid w:val="00693B50"/>
    <w:rsid w:val="00696B0A"/>
    <w:rsid w:val="006A0FF9"/>
    <w:rsid w:val="006A2936"/>
    <w:rsid w:val="006A5A74"/>
    <w:rsid w:val="006A7525"/>
    <w:rsid w:val="006B19F5"/>
    <w:rsid w:val="006E1747"/>
    <w:rsid w:val="006E283B"/>
    <w:rsid w:val="006E43E9"/>
    <w:rsid w:val="006F3CF4"/>
    <w:rsid w:val="00705E0D"/>
    <w:rsid w:val="00713B9E"/>
    <w:rsid w:val="007179AC"/>
    <w:rsid w:val="00717F8C"/>
    <w:rsid w:val="00732AE2"/>
    <w:rsid w:val="007342CC"/>
    <w:rsid w:val="007632BF"/>
    <w:rsid w:val="00763828"/>
    <w:rsid w:val="00763F1F"/>
    <w:rsid w:val="00767923"/>
    <w:rsid w:val="0077110C"/>
    <w:rsid w:val="007868D1"/>
    <w:rsid w:val="00790F0B"/>
    <w:rsid w:val="0079225F"/>
    <w:rsid w:val="007A733C"/>
    <w:rsid w:val="007B5B95"/>
    <w:rsid w:val="007C0F38"/>
    <w:rsid w:val="007E1A4E"/>
    <w:rsid w:val="007F7662"/>
    <w:rsid w:val="008017B8"/>
    <w:rsid w:val="00807924"/>
    <w:rsid w:val="00811898"/>
    <w:rsid w:val="008177A1"/>
    <w:rsid w:val="0081797E"/>
    <w:rsid w:val="008302E9"/>
    <w:rsid w:val="008342BF"/>
    <w:rsid w:val="008435CD"/>
    <w:rsid w:val="00846A1B"/>
    <w:rsid w:val="00856E2D"/>
    <w:rsid w:val="0087078D"/>
    <w:rsid w:val="00872237"/>
    <w:rsid w:val="00873A6A"/>
    <w:rsid w:val="00890128"/>
    <w:rsid w:val="008953A9"/>
    <w:rsid w:val="008A512C"/>
    <w:rsid w:val="008B1C9E"/>
    <w:rsid w:val="008C0844"/>
    <w:rsid w:val="008C49C4"/>
    <w:rsid w:val="008D08AB"/>
    <w:rsid w:val="008D321F"/>
    <w:rsid w:val="008D6294"/>
    <w:rsid w:val="008E2BFB"/>
    <w:rsid w:val="008F2DC8"/>
    <w:rsid w:val="00900D6F"/>
    <w:rsid w:val="00901FE7"/>
    <w:rsid w:val="0090332F"/>
    <w:rsid w:val="00906EDE"/>
    <w:rsid w:val="009070B5"/>
    <w:rsid w:val="00924B94"/>
    <w:rsid w:val="0092538A"/>
    <w:rsid w:val="00932D0D"/>
    <w:rsid w:val="00951389"/>
    <w:rsid w:val="00951846"/>
    <w:rsid w:val="00973F55"/>
    <w:rsid w:val="00974B44"/>
    <w:rsid w:val="0098681A"/>
    <w:rsid w:val="0098723C"/>
    <w:rsid w:val="00993879"/>
    <w:rsid w:val="009A5AE0"/>
    <w:rsid w:val="009A75A1"/>
    <w:rsid w:val="009B6FB4"/>
    <w:rsid w:val="009B74E1"/>
    <w:rsid w:val="009B7832"/>
    <w:rsid w:val="009D3DAD"/>
    <w:rsid w:val="009E6939"/>
    <w:rsid w:val="009F07C2"/>
    <w:rsid w:val="009F494F"/>
    <w:rsid w:val="00A11327"/>
    <w:rsid w:val="00A1758F"/>
    <w:rsid w:val="00A179A9"/>
    <w:rsid w:val="00A2290C"/>
    <w:rsid w:val="00A33754"/>
    <w:rsid w:val="00A36D62"/>
    <w:rsid w:val="00A61170"/>
    <w:rsid w:val="00A61D07"/>
    <w:rsid w:val="00A7039B"/>
    <w:rsid w:val="00A71EC4"/>
    <w:rsid w:val="00A776E7"/>
    <w:rsid w:val="00A93AB5"/>
    <w:rsid w:val="00AA1EC4"/>
    <w:rsid w:val="00AA23D9"/>
    <w:rsid w:val="00AB2235"/>
    <w:rsid w:val="00AB22C7"/>
    <w:rsid w:val="00AC0274"/>
    <w:rsid w:val="00AF6AFA"/>
    <w:rsid w:val="00B033CE"/>
    <w:rsid w:val="00B03D21"/>
    <w:rsid w:val="00B055E7"/>
    <w:rsid w:val="00B06806"/>
    <w:rsid w:val="00B16C93"/>
    <w:rsid w:val="00B21526"/>
    <w:rsid w:val="00B22A3A"/>
    <w:rsid w:val="00B2447C"/>
    <w:rsid w:val="00B2644E"/>
    <w:rsid w:val="00B46DEC"/>
    <w:rsid w:val="00B545DD"/>
    <w:rsid w:val="00B60596"/>
    <w:rsid w:val="00B6382B"/>
    <w:rsid w:val="00B6675C"/>
    <w:rsid w:val="00B70637"/>
    <w:rsid w:val="00B72A3E"/>
    <w:rsid w:val="00B73FE5"/>
    <w:rsid w:val="00B80155"/>
    <w:rsid w:val="00B803C2"/>
    <w:rsid w:val="00B80B96"/>
    <w:rsid w:val="00B82B7B"/>
    <w:rsid w:val="00B83B94"/>
    <w:rsid w:val="00B843F8"/>
    <w:rsid w:val="00B87F5A"/>
    <w:rsid w:val="00B92B72"/>
    <w:rsid w:val="00BA5186"/>
    <w:rsid w:val="00BB2606"/>
    <w:rsid w:val="00BC2826"/>
    <w:rsid w:val="00BD5088"/>
    <w:rsid w:val="00BE01B6"/>
    <w:rsid w:val="00BE0758"/>
    <w:rsid w:val="00BE1A17"/>
    <w:rsid w:val="00BE3638"/>
    <w:rsid w:val="00BE507C"/>
    <w:rsid w:val="00BF0FC6"/>
    <w:rsid w:val="00BF79C1"/>
    <w:rsid w:val="00C01416"/>
    <w:rsid w:val="00C10C48"/>
    <w:rsid w:val="00C22BC2"/>
    <w:rsid w:val="00C6412F"/>
    <w:rsid w:val="00C67592"/>
    <w:rsid w:val="00C83D28"/>
    <w:rsid w:val="00C84E20"/>
    <w:rsid w:val="00C9062C"/>
    <w:rsid w:val="00CA15C0"/>
    <w:rsid w:val="00CA21F2"/>
    <w:rsid w:val="00CB4FA8"/>
    <w:rsid w:val="00CB5452"/>
    <w:rsid w:val="00CE7FB7"/>
    <w:rsid w:val="00D034C1"/>
    <w:rsid w:val="00D11D91"/>
    <w:rsid w:val="00D206A9"/>
    <w:rsid w:val="00D27679"/>
    <w:rsid w:val="00D30E85"/>
    <w:rsid w:val="00D34BDC"/>
    <w:rsid w:val="00D37E41"/>
    <w:rsid w:val="00D404E9"/>
    <w:rsid w:val="00D419DF"/>
    <w:rsid w:val="00D4201D"/>
    <w:rsid w:val="00D51FFB"/>
    <w:rsid w:val="00D54AAB"/>
    <w:rsid w:val="00D640B0"/>
    <w:rsid w:val="00D72458"/>
    <w:rsid w:val="00D90781"/>
    <w:rsid w:val="00D924BA"/>
    <w:rsid w:val="00DA27B6"/>
    <w:rsid w:val="00DA6BEE"/>
    <w:rsid w:val="00DD79F7"/>
    <w:rsid w:val="00DE1F7A"/>
    <w:rsid w:val="00DE25E8"/>
    <w:rsid w:val="00DE579D"/>
    <w:rsid w:val="00DF3384"/>
    <w:rsid w:val="00DF392A"/>
    <w:rsid w:val="00DF56CE"/>
    <w:rsid w:val="00DF61DF"/>
    <w:rsid w:val="00E0469E"/>
    <w:rsid w:val="00E054EE"/>
    <w:rsid w:val="00E16B02"/>
    <w:rsid w:val="00E212FD"/>
    <w:rsid w:val="00E21474"/>
    <w:rsid w:val="00E32FDA"/>
    <w:rsid w:val="00E36D6F"/>
    <w:rsid w:val="00E556EF"/>
    <w:rsid w:val="00E60ED7"/>
    <w:rsid w:val="00E74167"/>
    <w:rsid w:val="00E87089"/>
    <w:rsid w:val="00E90A48"/>
    <w:rsid w:val="00E911EC"/>
    <w:rsid w:val="00E96EF7"/>
    <w:rsid w:val="00EA56B4"/>
    <w:rsid w:val="00EB0006"/>
    <w:rsid w:val="00EB0255"/>
    <w:rsid w:val="00EB1333"/>
    <w:rsid w:val="00EB440D"/>
    <w:rsid w:val="00EB5BCC"/>
    <w:rsid w:val="00ED68FD"/>
    <w:rsid w:val="00EE4DFF"/>
    <w:rsid w:val="00EE7907"/>
    <w:rsid w:val="00F1149F"/>
    <w:rsid w:val="00F13704"/>
    <w:rsid w:val="00F13DD7"/>
    <w:rsid w:val="00F20D0A"/>
    <w:rsid w:val="00F2444A"/>
    <w:rsid w:val="00F2639F"/>
    <w:rsid w:val="00F32199"/>
    <w:rsid w:val="00F3255A"/>
    <w:rsid w:val="00F33AE3"/>
    <w:rsid w:val="00F442A1"/>
    <w:rsid w:val="00F45EEE"/>
    <w:rsid w:val="00F465C6"/>
    <w:rsid w:val="00F50652"/>
    <w:rsid w:val="00F6738A"/>
    <w:rsid w:val="00F70E4C"/>
    <w:rsid w:val="00F8380A"/>
    <w:rsid w:val="00F86EC5"/>
    <w:rsid w:val="00F876C6"/>
    <w:rsid w:val="00F95A37"/>
    <w:rsid w:val="00F96EC1"/>
    <w:rsid w:val="00F977D0"/>
    <w:rsid w:val="00FA7E02"/>
    <w:rsid w:val="00FB24B0"/>
    <w:rsid w:val="00FC56E9"/>
    <w:rsid w:val="00FD009B"/>
    <w:rsid w:val="00FF27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54A9B-2184-4D90-B380-756FB095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6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45DD9"/>
    <w:rPr>
      <w:sz w:val="16"/>
      <w:szCs w:val="16"/>
    </w:rPr>
  </w:style>
  <w:style w:type="paragraph" w:styleId="Tekstkomentarza">
    <w:name w:val="annotation text"/>
    <w:basedOn w:val="Normalny"/>
    <w:link w:val="TekstkomentarzaZnak"/>
    <w:uiPriority w:val="99"/>
    <w:semiHidden/>
    <w:unhideWhenUsed/>
    <w:rsid w:val="00445D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5DD9"/>
    <w:rPr>
      <w:sz w:val="20"/>
      <w:szCs w:val="20"/>
    </w:rPr>
  </w:style>
  <w:style w:type="paragraph" w:styleId="Tematkomentarza">
    <w:name w:val="annotation subject"/>
    <w:basedOn w:val="Tekstkomentarza"/>
    <w:next w:val="Tekstkomentarza"/>
    <w:link w:val="TematkomentarzaZnak"/>
    <w:uiPriority w:val="99"/>
    <w:semiHidden/>
    <w:unhideWhenUsed/>
    <w:rsid w:val="00445DD9"/>
    <w:rPr>
      <w:b/>
      <w:bCs/>
    </w:rPr>
  </w:style>
  <w:style w:type="character" w:customStyle="1" w:styleId="TematkomentarzaZnak">
    <w:name w:val="Temat komentarza Znak"/>
    <w:basedOn w:val="TekstkomentarzaZnak"/>
    <w:link w:val="Tematkomentarza"/>
    <w:uiPriority w:val="99"/>
    <w:semiHidden/>
    <w:rsid w:val="00445DD9"/>
    <w:rPr>
      <w:b/>
      <w:bCs/>
      <w:sz w:val="20"/>
      <w:szCs w:val="20"/>
    </w:rPr>
  </w:style>
  <w:style w:type="paragraph" w:styleId="Tekstdymka">
    <w:name w:val="Balloon Text"/>
    <w:basedOn w:val="Normalny"/>
    <w:link w:val="TekstdymkaZnak"/>
    <w:uiPriority w:val="99"/>
    <w:semiHidden/>
    <w:unhideWhenUsed/>
    <w:rsid w:val="00445D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5DD9"/>
    <w:rPr>
      <w:rFonts w:ascii="Tahoma" w:hAnsi="Tahoma" w:cs="Tahoma"/>
      <w:sz w:val="16"/>
      <w:szCs w:val="16"/>
    </w:rPr>
  </w:style>
  <w:style w:type="paragraph" w:styleId="Zwykytekst">
    <w:name w:val="Plain Text"/>
    <w:basedOn w:val="Normalny"/>
    <w:link w:val="ZwykytekstZnak"/>
    <w:uiPriority w:val="99"/>
    <w:unhideWhenUsed/>
    <w:rsid w:val="00890128"/>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890128"/>
    <w:rPr>
      <w:rFonts w:ascii="Calibri" w:eastAsiaTheme="minorHAnsi" w:hAnsi="Calibri"/>
      <w:szCs w:val="21"/>
      <w:lang w:eastAsia="en-US"/>
    </w:rPr>
  </w:style>
  <w:style w:type="character" w:styleId="Hipercze">
    <w:name w:val="Hyperlink"/>
    <w:basedOn w:val="Domylnaczcionkaakapitu"/>
    <w:uiPriority w:val="99"/>
    <w:semiHidden/>
    <w:unhideWhenUsed/>
    <w:rsid w:val="005059CF"/>
    <w:rPr>
      <w:color w:val="0000FF"/>
      <w:u w:val="single"/>
    </w:rPr>
  </w:style>
  <w:style w:type="paragraph" w:customStyle="1" w:styleId="PKTpunkt">
    <w:name w:val="PKT – punkt"/>
    <w:uiPriority w:val="13"/>
    <w:qFormat/>
    <w:rsid w:val="005059CF"/>
    <w:pPr>
      <w:spacing w:after="0" w:line="360" w:lineRule="auto"/>
      <w:ind w:left="510" w:hanging="510"/>
      <w:jc w:val="both"/>
    </w:pPr>
    <w:rPr>
      <w:rFonts w:ascii="Times" w:hAnsi="Times" w:cs="Arial"/>
      <w:bCs/>
      <w:sz w:val="24"/>
      <w:szCs w:val="20"/>
    </w:rPr>
  </w:style>
  <w:style w:type="character" w:customStyle="1" w:styleId="Ppogrubienie">
    <w:name w:val="_P_ – pogrubienie"/>
    <w:basedOn w:val="Domylnaczcionkaakapitu"/>
    <w:uiPriority w:val="1"/>
    <w:qFormat/>
    <w:rsid w:val="005059CF"/>
    <w:rPr>
      <w:b/>
      <w:bCs w:val="0"/>
    </w:rPr>
  </w:style>
  <w:style w:type="paragraph" w:styleId="Akapitzlist">
    <w:name w:val="List Paragraph"/>
    <w:basedOn w:val="Normalny"/>
    <w:uiPriority w:val="34"/>
    <w:qFormat/>
    <w:rsid w:val="00A11327"/>
    <w:pPr>
      <w:ind w:left="720"/>
      <w:contextualSpacing/>
    </w:pPr>
  </w:style>
  <w:style w:type="paragraph" w:styleId="Nagwek">
    <w:name w:val="header"/>
    <w:basedOn w:val="Normalny"/>
    <w:link w:val="NagwekZnak"/>
    <w:uiPriority w:val="99"/>
    <w:unhideWhenUsed/>
    <w:rsid w:val="00763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2BF"/>
  </w:style>
  <w:style w:type="paragraph" w:styleId="Stopka">
    <w:name w:val="footer"/>
    <w:basedOn w:val="Normalny"/>
    <w:link w:val="StopkaZnak"/>
    <w:uiPriority w:val="99"/>
    <w:unhideWhenUsed/>
    <w:rsid w:val="00763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2BF"/>
  </w:style>
  <w:style w:type="paragraph" w:styleId="Tekstprzypisudolnego">
    <w:name w:val="footnote text"/>
    <w:basedOn w:val="Normalny"/>
    <w:link w:val="TekstprzypisudolnegoZnak"/>
    <w:uiPriority w:val="99"/>
    <w:semiHidden/>
    <w:unhideWhenUsed/>
    <w:rsid w:val="007632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32BF"/>
    <w:rPr>
      <w:sz w:val="20"/>
      <w:szCs w:val="20"/>
    </w:rPr>
  </w:style>
  <w:style w:type="character" w:styleId="Odwoanieprzypisudolnego">
    <w:name w:val="footnote reference"/>
    <w:basedOn w:val="Domylnaczcionkaakapitu"/>
    <w:uiPriority w:val="99"/>
    <w:semiHidden/>
    <w:unhideWhenUsed/>
    <w:rsid w:val="007632BF"/>
    <w:rPr>
      <w:vertAlign w:val="superscript"/>
    </w:rPr>
  </w:style>
  <w:style w:type="character" w:customStyle="1" w:styleId="apple-converted-space">
    <w:name w:val="apple-converted-space"/>
    <w:basedOn w:val="Domylnaczcionkaakapitu"/>
    <w:rsid w:val="007C0F38"/>
  </w:style>
  <w:style w:type="character" w:styleId="Uwydatnienie">
    <w:name w:val="Emphasis"/>
    <w:basedOn w:val="Domylnaczcionkaakapitu"/>
    <w:uiPriority w:val="20"/>
    <w:qFormat/>
    <w:rsid w:val="007C0F38"/>
    <w:rPr>
      <w:i/>
      <w:iCs/>
    </w:rPr>
  </w:style>
  <w:style w:type="paragraph" w:styleId="Poprawka">
    <w:name w:val="Revision"/>
    <w:hidden/>
    <w:uiPriority w:val="99"/>
    <w:semiHidden/>
    <w:rsid w:val="0044405B"/>
    <w:pPr>
      <w:spacing w:after="0" w:line="240" w:lineRule="auto"/>
    </w:pPr>
  </w:style>
  <w:style w:type="paragraph" w:styleId="Tekstprzypisukocowego">
    <w:name w:val="endnote text"/>
    <w:basedOn w:val="Normalny"/>
    <w:link w:val="TekstprzypisukocowegoZnak"/>
    <w:uiPriority w:val="99"/>
    <w:semiHidden/>
    <w:unhideWhenUsed/>
    <w:rsid w:val="00EB13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1333"/>
    <w:rPr>
      <w:sz w:val="20"/>
      <w:szCs w:val="20"/>
    </w:rPr>
  </w:style>
  <w:style w:type="character" w:styleId="Odwoanieprzypisukocowego">
    <w:name w:val="endnote reference"/>
    <w:basedOn w:val="Domylnaczcionkaakapitu"/>
    <w:uiPriority w:val="99"/>
    <w:semiHidden/>
    <w:unhideWhenUsed/>
    <w:rsid w:val="00EB1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3529">
      <w:bodyDiv w:val="1"/>
      <w:marLeft w:val="0"/>
      <w:marRight w:val="0"/>
      <w:marTop w:val="0"/>
      <w:marBottom w:val="0"/>
      <w:divBdr>
        <w:top w:val="none" w:sz="0" w:space="0" w:color="auto"/>
        <w:left w:val="none" w:sz="0" w:space="0" w:color="auto"/>
        <w:bottom w:val="none" w:sz="0" w:space="0" w:color="auto"/>
        <w:right w:val="none" w:sz="0" w:space="0" w:color="auto"/>
      </w:divBdr>
    </w:div>
    <w:div w:id="133958232">
      <w:bodyDiv w:val="1"/>
      <w:marLeft w:val="0"/>
      <w:marRight w:val="0"/>
      <w:marTop w:val="0"/>
      <w:marBottom w:val="0"/>
      <w:divBdr>
        <w:top w:val="none" w:sz="0" w:space="0" w:color="auto"/>
        <w:left w:val="none" w:sz="0" w:space="0" w:color="auto"/>
        <w:bottom w:val="none" w:sz="0" w:space="0" w:color="auto"/>
        <w:right w:val="none" w:sz="0" w:space="0" w:color="auto"/>
      </w:divBdr>
    </w:div>
    <w:div w:id="244610972">
      <w:bodyDiv w:val="1"/>
      <w:marLeft w:val="0"/>
      <w:marRight w:val="0"/>
      <w:marTop w:val="0"/>
      <w:marBottom w:val="0"/>
      <w:divBdr>
        <w:top w:val="none" w:sz="0" w:space="0" w:color="auto"/>
        <w:left w:val="none" w:sz="0" w:space="0" w:color="auto"/>
        <w:bottom w:val="none" w:sz="0" w:space="0" w:color="auto"/>
        <w:right w:val="none" w:sz="0" w:space="0" w:color="auto"/>
      </w:divBdr>
    </w:div>
    <w:div w:id="666447231">
      <w:bodyDiv w:val="1"/>
      <w:marLeft w:val="0"/>
      <w:marRight w:val="0"/>
      <w:marTop w:val="0"/>
      <w:marBottom w:val="0"/>
      <w:divBdr>
        <w:top w:val="none" w:sz="0" w:space="0" w:color="auto"/>
        <w:left w:val="none" w:sz="0" w:space="0" w:color="auto"/>
        <w:bottom w:val="none" w:sz="0" w:space="0" w:color="auto"/>
        <w:right w:val="none" w:sz="0" w:space="0" w:color="auto"/>
      </w:divBdr>
    </w:div>
    <w:div w:id="791049471">
      <w:bodyDiv w:val="1"/>
      <w:marLeft w:val="0"/>
      <w:marRight w:val="0"/>
      <w:marTop w:val="0"/>
      <w:marBottom w:val="0"/>
      <w:divBdr>
        <w:top w:val="none" w:sz="0" w:space="0" w:color="auto"/>
        <w:left w:val="none" w:sz="0" w:space="0" w:color="auto"/>
        <w:bottom w:val="none" w:sz="0" w:space="0" w:color="auto"/>
        <w:right w:val="none" w:sz="0" w:space="0" w:color="auto"/>
      </w:divBdr>
    </w:div>
    <w:div w:id="794835664">
      <w:bodyDiv w:val="1"/>
      <w:marLeft w:val="0"/>
      <w:marRight w:val="0"/>
      <w:marTop w:val="0"/>
      <w:marBottom w:val="0"/>
      <w:divBdr>
        <w:top w:val="none" w:sz="0" w:space="0" w:color="auto"/>
        <w:left w:val="none" w:sz="0" w:space="0" w:color="auto"/>
        <w:bottom w:val="none" w:sz="0" w:space="0" w:color="auto"/>
        <w:right w:val="none" w:sz="0" w:space="0" w:color="auto"/>
      </w:divBdr>
    </w:div>
    <w:div w:id="807625939">
      <w:bodyDiv w:val="1"/>
      <w:marLeft w:val="0"/>
      <w:marRight w:val="0"/>
      <w:marTop w:val="0"/>
      <w:marBottom w:val="0"/>
      <w:divBdr>
        <w:top w:val="none" w:sz="0" w:space="0" w:color="auto"/>
        <w:left w:val="none" w:sz="0" w:space="0" w:color="auto"/>
        <w:bottom w:val="none" w:sz="0" w:space="0" w:color="auto"/>
        <w:right w:val="none" w:sz="0" w:space="0" w:color="auto"/>
      </w:divBdr>
    </w:div>
    <w:div w:id="813330219">
      <w:bodyDiv w:val="1"/>
      <w:marLeft w:val="0"/>
      <w:marRight w:val="0"/>
      <w:marTop w:val="0"/>
      <w:marBottom w:val="0"/>
      <w:divBdr>
        <w:top w:val="none" w:sz="0" w:space="0" w:color="auto"/>
        <w:left w:val="none" w:sz="0" w:space="0" w:color="auto"/>
        <w:bottom w:val="none" w:sz="0" w:space="0" w:color="auto"/>
        <w:right w:val="none" w:sz="0" w:space="0" w:color="auto"/>
      </w:divBdr>
    </w:div>
    <w:div w:id="1009066631">
      <w:bodyDiv w:val="1"/>
      <w:marLeft w:val="0"/>
      <w:marRight w:val="0"/>
      <w:marTop w:val="0"/>
      <w:marBottom w:val="0"/>
      <w:divBdr>
        <w:top w:val="none" w:sz="0" w:space="0" w:color="auto"/>
        <w:left w:val="none" w:sz="0" w:space="0" w:color="auto"/>
        <w:bottom w:val="none" w:sz="0" w:space="0" w:color="auto"/>
        <w:right w:val="none" w:sz="0" w:space="0" w:color="auto"/>
      </w:divBdr>
      <w:divsChild>
        <w:div w:id="190068645">
          <w:marLeft w:val="0"/>
          <w:marRight w:val="0"/>
          <w:marTop w:val="0"/>
          <w:marBottom w:val="0"/>
          <w:divBdr>
            <w:top w:val="none" w:sz="0" w:space="0" w:color="auto"/>
            <w:left w:val="none" w:sz="0" w:space="0" w:color="auto"/>
            <w:bottom w:val="none" w:sz="0" w:space="0" w:color="auto"/>
            <w:right w:val="none" w:sz="0" w:space="0" w:color="auto"/>
          </w:divBdr>
          <w:divsChild>
            <w:div w:id="139345361">
              <w:marLeft w:val="0"/>
              <w:marRight w:val="0"/>
              <w:marTop w:val="0"/>
              <w:marBottom w:val="0"/>
              <w:divBdr>
                <w:top w:val="none" w:sz="0" w:space="0" w:color="auto"/>
                <w:left w:val="none" w:sz="0" w:space="0" w:color="auto"/>
                <w:bottom w:val="none" w:sz="0" w:space="0" w:color="auto"/>
                <w:right w:val="none" w:sz="0" w:space="0" w:color="auto"/>
              </w:divBdr>
              <w:divsChild>
                <w:div w:id="1687055665">
                  <w:marLeft w:val="0"/>
                  <w:marRight w:val="0"/>
                  <w:marTop w:val="0"/>
                  <w:marBottom w:val="0"/>
                  <w:divBdr>
                    <w:top w:val="none" w:sz="0" w:space="0" w:color="auto"/>
                    <w:left w:val="none" w:sz="0" w:space="0" w:color="auto"/>
                    <w:bottom w:val="none" w:sz="0" w:space="0" w:color="auto"/>
                    <w:right w:val="none" w:sz="0" w:space="0" w:color="auto"/>
                  </w:divBdr>
                  <w:divsChild>
                    <w:div w:id="783384077">
                      <w:marLeft w:val="0"/>
                      <w:marRight w:val="0"/>
                      <w:marTop w:val="0"/>
                      <w:marBottom w:val="0"/>
                      <w:divBdr>
                        <w:top w:val="none" w:sz="0" w:space="0" w:color="auto"/>
                        <w:left w:val="none" w:sz="0" w:space="0" w:color="auto"/>
                        <w:bottom w:val="none" w:sz="0" w:space="0" w:color="auto"/>
                        <w:right w:val="none" w:sz="0" w:space="0" w:color="auto"/>
                      </w:divBdr>
                      <w:divsChild>
                        <w:div w:id="514541521">
                          <w:marLeft w:val="0"/>
                          <w:marRight w:val="0"/>
                          <w:marTop w:val="0"/>
                          <w:marBottom w:val="0"/>
                          <w:divBdr>
                            <w:top w:val="none" w:sz="0" w:space="0" w:color="auto"/>
                            <w:left w:val="none" w:sz="0" w:space="0" w:color="auto"/>
                            <w:bottom w:val="none" w:sz="0" w:space="0" w:color="auto"/>
                            <w:right w:val="none" w:sz="0" w:space="0" w:color="auto"/>
                          </w:divBdr>
                          <w:divsChild>
                            <w:div w:id="952708407">
                              <w:marLeft w:val="0"/>
                              <w:marRight w:val="0"/>
                              <w:marTop w:val="0"/>
                              <w:marBottom w:val="0"/>
                              <w:divBdr>
                                <w:top w:val="none" w:sz="0" w:space="0" w:color="auto"/>
                                <w:left w:val="none" w:sz="0" w:space="0" w:color="auto"/>
                                <w:bottom w:val="none" w:sz="0" w:space="0" w:color="auto"/>
                                <w:right w:val="none" w:sz="0" w:space="0" w:color="auto"/>
                              </w:divBdr>
                              <w:divsChild>
                                <w:div w:id="1478689360">
                                  <w:marLeft w:val="0"/>
                                  <w:marRight w:val="0"/>
                                  <w:marTop w:val="0"/>
                                  <w:marBottom w:val="0"/>
                                  <w:divBdr>
                                    <w:top w:val="none" w:sz="0" w:space="0" w:color="auto"/>
                                    <w:left w:val="none" w:sz="0" w:space="0" w:color="auto"/>
                                    <w:bottom w:val="none" w:sz="0" w:space="0" w:color="auto"/>
                                    <w:right w:val="none" w:sz="0" w:space="0" w:color="auto"/>
                                  </w:divBdr>
                                  <w:divsChild>
                                    <w:div w:id="2029986190">
                                      <w:marLeft w:val="0"/>
                                      <w:marRight w:val="0"/>
                                      <w:marTop w:val="0"/>
                                      <w:marBottom w:val="0"/>
                                      <w:divBdr>
                                        <w:top w:val="none" w:sz="0" w:space="0" w:color="auto"/>
                                        <w:left w:val="none" w:sz="0" w:space="0" w:color="auto"/>
                                        <w:bottom w:val="none" w:sz="0" w:space="0" w:color="auto"/>
                                        <w:right w:val="none" w:sz="0" w:space="0" w:color="auto"/>
                                      </w:divBdr>
                                      <w:divsChild>
                                        <w:div w:id="1103694785">
                                          <w:marLeft w:val="0"/>
                                          <w:marRight w:val="0"/>
                                          <w:marTop w:val="0"/>
                                          <w:marBottom w:val="0"/>
                                          <w:divBdr>
                                            <w:top w:val="none" w:sz="0" w:space="0" w:color="auto"/>
                                            <w:left w:val="none" w:sz="0" w:space="0" w:color="auto"/>
                                            <w:bottom w:val="none" w:sz="0" w:space="0" w:color="auto"/>
                                            <w:right w:val="none" w:sz="0" w:space="0" w:color="auto"/>
                                          </w:divBdr>
                                          <w:divsChild>
                                            <w:div w:id="1422680499">
                                              <w:marLeft w:val="0"/>
                                              <w:marRight w:val="0"/>
                                              <w:marTop w:val="0"/>
                                              <w:marBottom w:val="0"/>
                                              <w:divBdr>
                                                <w:top w:val="none" w:sz="0" w:space="0" w:color="auto"/>
                                                <w:left w:val="none" w:sz="0" w:space="0" w:color="auto"/>
                                                <w:bottom w:val="none" w:sz="0" w:space="0" w:color="auto"/>
                                                <w:right w:val="none" w:sz="0" w:space="0" w:color="auto"/>
                                              </w:divBdr>
                                              <w:divsChild>
                                                <w:div w:id="1786077363">
                                                  <w:marLeft w:val="0"/>
                                                  <w:marRight w:val="0"/>
                                                  <w:marTop w:val="0"/>
                                                  <w:marBottom w:val="0"/>
                                                  <w:divBdr>
                                                    <w:top w:val="none" w:sz="0" w:space="0" w:color="auto"/>
                                                    <w:left w:val="none" w:sz="0" w:space="0" w:color="auto"/>
                                                    <w:bottom w:val="none" w:sz="0" w:space="0" w:color="auto"/>
                                                    <w:right w:val="none" w:sz="0" w:space="0" w:color="auto"/>
                                                  </w:divBdr>
                                                  <w:divsChild>
                                                    <w:div w:id="780338135">
                                                      <w:marLeft w:val="0"/>
                                                      <w:marRight w:val="0"/>
                                                      <w:marTop w:val="0"/>
                                                      <w:marBottom w:val="0"/>
                                                      <w:divBdr>
                                                        <w:top w:val="none" w:sz="0" w:space="0" w:color="auto"/>
                                                        <w:left w:val="none" w:sz="0" w:space="0" w:color="auto"/>
                                                        <w:bottom w:val="none" w:sz="0" w:space="0" w:color="auto"/>
                                                        <w:right w:val="none" w:sz="0" w:space="0" w:color="auto"/>
                                                      </w:divBdr>
                                                      <w:divsChild>
                                                        <w:div w:id="1293903467">
                                                          <w:marLeft w:val="0"/>
                                                          <w:marRight w:val="0"/>
                                                          <w:marTop w:val="0"/>
                                                          <w:marBottom w:val="0"/>
                                                          <w:divBdr>
                                                            <w:top w:val="none" w:sz="0" w:space="0" w:color="auto"/>
                                                            <w:left w:val="none" w:sz="0" w:space="0" w:color="auto"/>
                                                            <w:bottom w:val="none" w:sz="0" w:space="0" w:color="auto"/>
                                                            <w:right w:val="none" w:sz="0" w:space="0" w:color="auto"/>
                                                          </w:divBdr>
                                                          <w:divsChild>
                                                            <w:div w:id="1537044513">
                                                              <w:marLeft w:val="0"/>
                                                              <w:marRight w:val="0"/>
                                                              <w:marTop w:val="0"/>
                                                              <w:marBottom w:val="0"/>
                                                              <w:divBdr>
                                                                <w:top w:val="none" w:sz="0" w:space="0" w:color="auto"/>
                                                                <w:left w:val="none" w:sz="0" w:space="0" w:color="auto"/>
                                                                <w:bottom w:val="none" w:sz="0" w:space="0" w:color="auto"/>
                                                                <w:right w:val="none" w:sz="0" w:space="0" w:color="auto"/>
                                                              </w:divBdr>
                                                              <w:divsChild>
                                                                <w:div w:id="11354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4146223">
      <w:bodyDiv w:val="1"/>
      <w:marLeft w:val="0"/>
      <w:marRight w:val="0"/>
      <w:marTop w:val="0"/>
      <w:marBottom w:val="0"/>
      <w:divBdr>
        <w:top w:val="none" w:sz="0" w:space="0" w:color="auto"/>
        <w:left w:val="none" w:sz="0" w:space="0" w:color="auto"/>
        <w:bottom w:val="none" w:sz="0" w:space="0" w:color="auto"/>
        <w:right w:val="none" w:sz="0" w:space="0" w:color="auto"/>
      </w:divBdr>
    </w:div>
    <w:div w:id="1187409212">
      <w:bodyDiv w:val="1"/>
      <w:marLeft w:val="0"/>
      <w:marRight w:val="0"/>
      <w:marTop w:val="0"/>
      <w:marBottom w:val="0"/>
      <w:divBdr>
        <w:top w:val="none" w:sz="0" w:space="0" w:color="auto"/>
        <w:left w:val="none" w:sz="0" w:space="0" w:color="auto"/>
        <w:bottom w:val="none" w:sz="0" w:space="0" w:color="auto"/>
        <w:right w:val="none" w:sz="0" w:space="0" w:color="auto"/>
      </w:divBdr>
      <w:divsChild>
        <w:div w:id="168061564">
          <w:marLeft w:val="0"/>
          <w:marRight w:val="0"/>
          <w:marTop w:val="0"/>
          <w:marBottom w:val="0"/>
          <w:divBdr>
            <w:top w:val="none" w:sz="0" w:space="0" w:color="auto"/>
            <w:left w:val="none" w:sz="0" w:space="0" w:color="auto"/>
            <w:bottom w:val="none" w:sz="0" w:space="0" w:color="auto"/>
            <w:right w:val="none" w:sz="0" w:space="0" w:color="auto"/>
          </w:divBdr>
          <w:divsChild>
            <w:div w:id="1973514335">
              <w:marLeft w:val="0"/>
              <w:marRight w:val="0"/>
              <w:marTop w:val="0"/>
              <w:marBottom w:val="0"/>
              <w:divBdr>
                <w:top w:val="none" w:sz="0" w:space="0" w:color="auto"/>
                <w:left w:val="none" w:sz="0" w:space="0" w:color="auto"/>
                <w:bottom w:val="none" w:sz="0" w:space="0" w:color="auto"/>
                <w:right w:val="none" w:sz="0" w:space="0" w:color="auto"/>
              </w:divBdr>
              <w:divsChild>
                <w:div w:id="1201743277">
                  <w:marLeft w:val="0"/>
                  <w:marRight w:val="0"/>
                  <w:marTop w:val="0"/>
                  <w:marBottom w:val="0"/>
                  <w:divBdr>
                    <w:top w:val="none" w:sz="0" w:space="0" w:color="auto"/>
                    <w:left w:val="none" w:sz="0" w:space="0" w:color="auto"/>
                    <w:bottom w:val="none" w:sz="0" w:space="0" w:color="auto"/>
                    <w:right w:val="none" w:sz="0" w:space="0" w:color="auto"/>
                  </w:divBdr>
                  <w:divsChild>
                    <w:div w:id="1039861739">
                      <w:marLeft w:val="0"/>
                      <w:marRight w:val="0"/>
                      <w:marTop w:val="0"/>
                      <w:marBottom w:val="0"/>
                      <w:divBdr>
                        <w:top w:val="none" w:sz="0" w:space="0" w:color="auto"/>
                        <w:left w:val="none" w:sz="0" w:space="0" w:color="auto"/>
                        <w:bottom w:val="none" w:sz="0" w:space="0" w:color="auto"/>
                        <w:right w:val="none" w:sz="0" w:space="0" w:color="auto"/>
                      </w:divBdr>
                      <w:divsChild>
                        <w:div w:id="1175531461">
                          <w:marLeft w:val="0"/>
                          <w:marRight w:val="0"/>
                          <w:marTop w:val="0"/>
                          <w:marBottom w:val="0"/>
                          <w:divBdr>
                            <w:top w:val="none" w:sz="0" w:space="0" w:color="auto"/>
                            <w:left w:val="none" w:sz="0" w:space="0" w:color="auto"/>
                            <w:bottom w:val="none" w:sz="0" w:space="0" w:color="auto"/>
                            <w:right w:val="none" w:sz="0" w:space="0" w:color="auto"/>
                          </w:divBdr>
                          <w:divsChild>
                            <w:div w:id="1248418143">
                              <w:marLeft w:val="0"/>
                              <w:marRight w:val="0"/>
                              <w:marTop w:val="0"/>
                              <w:marBottom w:val="0"/>
                              <w:divBdr>
                                <w:top w:val="none" w:sz="0" w:space="0" w:color="auto"/>
                                <w:left w:val="none" w:sz="0" w:space="0" w:color="auto"/>
                                <w:bottom w:val="none" w:sz="0" w:space="0" w:color="auto"/>
                                <w:right w:val="none" w:sz="0" w:space="0" w:color="auto"/>
                              </w:divBdr>
                              <w:divsChild>
                                <w:div w:id="1951624598">
                                  <w:marLeft w:val="0"/>
                                  <w:marRight w:val="0"/>
                                  <w:marTop w:val="0"/>
                                  <w:marBottom w:val="0"/>
                                  <w:divBdr>
                                    <w:top w:val="none" w:sz="0" w:space="0" w:color="auto"/>
                                    <w:left w:val="none" w:sz="0" w:space="0" w:color="auto"/>
                                    <w:bottom w:val="none" w:sz="0" w:space="0" w:color="auto"/>
                                    <w:right w:val="none" w:sz="0" w:space="0" w:color="auto"/>
                                  </w:divBdr>
                                  <w:divsChild>
                                    <w:div w:id="1441947658">
                                      <w:marLeft w:val="0"/>
                                      <w:marRight w:val="0"/>
                                      <w:marTop w:val="0"/>
                                      <w:marBottom w:val="0"/>
                                      <w:divBdr>
                                        <w:top w:val="none" w:sz="0" w:space="0" w:color="auto"/>
                                        <w:left w:val="none" w:sz="0" w:space="0" w:color="auto"/>
                                        <w:bottom w:val="none" w:sz="0" w:space="0" w:color="auto"/>
                                        <w:right w:val="none" w:sz="0" w:space="0" w:color="auto"/>
                                      </w:divBdr>
                                      <w:divsChild>
                                        <w:div w:id="1901090431">
                                          <w:marLeft w:val="0"/>
                                          <w:marRight w:val="0"/>
                                          <w:marTop w:val="0"/>
                                          <w:marBottom w:val="0"/>
                                          <w:divBdr>
                                            <w:top w:val="none" w:sz="0" w:space="0" w:color="auto"/>
                                            <w:left w:val="none" w:sz="0" w:space="0" w:color="auto"/>
                                            <w:bottom w:val="none" w:sz="0" w:space="0" w:color="auto"/>
                                            <w:right w:val="none" w:sz="0" w:space="0" w:color="auto"/>
                                          </w:divBdr>
                                          <w:divsChild>
                                            <w:div w:id="920719300">
                                              <w:marLeft w:val="0"/>
                                              <w:marRight w:val="0"/>
                                              <w:marTop w:val="0"/>
                                              <w:marBottom w:val="0"/>
                                              <w:divBdr>
                                                <w:top w:val="none" w:sz="0" w:space="0" w:color="auto"/>
                                                <w:left w:val="none" w:sz="0" w:space="0" w:color="auto"/>
                                                <w:bottom w:val="none" w:sz="0" w:space="0" w:color="auto"/>
                                                <w:right w:val="none" w:sz="0" w:space="0" w:color="auto"/>
                                              </w:divBdr>
                                              <w:divsChild>
                                                <w:div w:id="651762001">
                                                  <w:marLeft w:val="0"/>
                                                  <w:marRight w:val="0"/>
                                                  <w:marTop w:val="0"/>
                                                  <w:marBottom w:val="0"/>
                                                  <w:divBdr>
                                                    <w:top w:val="none" w:sz="0" w:space="0" w:color="auto"/>
                                                    <w:left w:val="none" w:sz="0" w:space="0" w:color="auto"/>
                                                    <w:bottom w:val="none" w:sz="0" w:space="0" w:color="auto"/>
                                                    <w:right w:val="none" w:sz="0" w:space="0" w:color="auto"/>
                                                  </w:divBdr>
                                                  <w:divsChild>
                                                    <w:div w:id="1811555512">
                                                      <w:marLeft w:val="0"/>
                                                      <w:marRight w:val="0"/>
                                                      <w:marTop w:val="0"/>
                                                      <w:marBottom w:val="0"/>
                                                      <w:divBdr>
                                                        <w:top w:val="none" w:sz="0" w:space="0" w:color="auto"/>
                                                        <w:left w:val="none" w:sz="0" w:space="0" w:color="auto"/>
                                                        <w:bottom w:val="none" w:sz="0" w:space="0" w:color="auto"/>
                                                        <w:right w:val="none" w:sz="0" w:space="0" w:color="auto"/>
                                                      </w:divBdr>
                                                      <w:divsChild>
                                                        <w:div w:id="233777554">
                                                          <w:marLeft w:val="0"/>
                                                          <w:marRight w:val="0"/>
                                                          <w:marTop w:val="0"/>
                                                          <w:marBottom w:val="0"/>
                                                          <w:divBdr>
                                                            <w:top w:val="none" w:sz="0" w:space="0" w:color="auto"/>
                                                            <w:left w:val="none" w:sz="0" w:space="0" w:color="auto"/>
                                                            <w:bottom w:val="none" w:sz="0" w:space="0" w:color="auto"/>
                                                            <w:right w:val="none" w:sz="0" w:space="0" w:color="auto"/>
                                                          </w:divBdr>
                                                        </w:div>
                                                      </w:divsChild>
                                                    </w:div>
                                                    <w:div w:id="588542061">
                                                      <w:marLeft w:val="0"/>
                                                      <w:marRight w:val="0"/>
                                                      <w:marTop w:val="0"/>
                                                      <w:marBottom w:val="0"/>
                                                      <w:divBdr>
                                                        <w:top w:val="none" w:sz="0" w:space="0" w:color="auto"/>
                                                        <w:left w:val="none" w:sz="0" w:space="0" w:color="auto"/>
                                                        <w:bottom w:val="none" w:sz="0" w:space="0" w:color="auto"/>
                                                        <w:right w:val="none" w:sz="0" w:space="0" w:color="auto"/>
                                                      </w:divBdr>
                                                      <w:divsChild>
                                                        <w:div w:id="1455754462">
                                                          <w:marLeft w:val="0"/>
                                                          <w:marRight w:val="0"/>
                                                          <w:marTop w:val="0"/>
                                                          <w:marBottom w:val="0"/>
                                                          <w:divBdr>
                                                            <w:top w:val="none" w:sz="0" w:space="0" w:color="auto"/>
                                                            <w:left w:val="none" w:sz="0" w:space="0" w:color="auto"/>
                                                            <w:bottom w:val="none" w:sz="0" w:space="0" w:color="auto"/>
                                                            <w:right w:val="none" w:sz="0" w:space="0" w:color="auto"/>
                                                          </w:divBdr>
                                                          <w:divsChild>
                                                            <w:div w:id="2146239387">
                                                              <w:marLeft w:val="0"/>
                                                              <w:marRight w:val="0"/>
                                                              <w:marTop w:val="0"/>
                                                              <w:marBottom w:val="0"/>
                                                              <w:divBdr>
                                                                <w:top w:val="none" w:sz="0" w:space="0" w:color="auto"/>
                                                                <w:left w:val="none" w:sz="0" w:space="0" w:color="auto"/>
                                                                <w:bottom w:val="none" w:sz="0" w:space="0" w:color="auto"/>
                                                                <w:right w:val="none" w:sz="0" w:space="0" w:color="auto"/>
                                                              </w:divBdr>
                                                              <w:divsChild>
                                                                <w:div w:id="10612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575144">
      <w:bodyDiv w:val="1"/>
      <w:marLeft w:val="0"/>
      <w:marRight w:val="0"/>
      <w:marTop w:val="0"/>
      <w:marBottom w:val="0"/>
      <w:divBdr>
        <w:top w:val="none" w:sz="0" w:space="0" w:color="auto"/>
        <w:left w:val="none" w:sz="0" w:space="0" w:color="auto"/>
        <w:bottom w:val="none" w:sz="0" w:space="0" w:color="auto"/>
        <w:right w:val="none" w:sz="0" w:space="0" w:color="auto"/>
      </w:divBdr>
    </w:div>
    <w:div w:id="1354650110">
      <w:bodyDiv w:val="1"/>
      <w:marLeft w:val="0"/>
      <w:marRight w:val="0"/>
      <w:marTop w:val="0"/>
      <w:marBottom w:val="0"/>
      <w:divBdr>
        <w:top w:val="none" w:sz="0" w:space="0" w:color="auto"/>
        <w:left w:val="none" w:sz="0" w:space="0" w:color="auto"/>
        <w:bottom w:val="none" w:sz="0" w:space="0" w:color="auto"/>
        <w:right w:val="none" w:sz="0" w:space="0" w:color="auto"/>
      </w:divBdr>
    </w:div>
    <w:div w:id="1834444194">
      <w:bodyDiv w:val="1"/>
      <w:marLeft w:val="0"/>
      <w:marRight w:val="0"/>
      <w:marTop w:val="0"/>
      <w:marBottom w:val="0"/>
      <w:divBdr>
        <w:top w:val="none" w:sz="0" w:space="0" w:color="auto"/>
        <w:left w:val="none" w:sz="0" w:space="0" w:color="auto"/>
        <w:bottom w:val="none" w:sz="0" w:space="0" w:color="auto"/>
        <w:right w:val="none" w:sz="0" w:space="0" w:color="auto"/>
      </w:divBdr>
    </w:div>
    <w:div w:id="2048335434">
      <w:bodyDiv w:val="1"/>
      <w:marLeft w:val="0"/>
      <w:marRight w:val="0"/>
      <w:marTop w:val="0"/>
      <w:marBottom w:val="0"/>
      <w:divBdr>
        <w:top w:val="none" w:sz="0" w:space="0" w:color="auto"/>
        <w:left w:val="none" w:sz="0" w:space="0" w:color="auto"/>
        <w:bottom w:val="none" w:sz="0" w:space="0" w:color="auto"/>
        <w:right w:val="none" w:sz="0" w:space="0" w:color="auto"/>
      </w:divBdr>
    </w:div>
    <w:div w:id="2065106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FC3B2-5CB2-4046-A674-0814BBA0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2392</Words>
  <Characters>14357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Fellmann Alicja</dc:creator>
  <cp:lastModifiedBy>Michalski Robert 2</cp:lastModifiedBy>
  <cp:revision>6</cp:revision>
  <cp:lastPrinted>2016-10-21T07:07:00Z</cp:lastPrinted>
  <dcterms:created xsi:type="dcterms:W3CDTF">2016-11-08T21:42:00Z</dcterms:created>
  <dcterms:modified xsi:type="dcterms:W3CDTF">2016-11-09T08:38:00Z</dcterms:modified>
</cp:coreProperties>
</file>