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CD2" w:rsidRDefault="00D07CD2" w:rsidP="00AF618A">
      <w:pPr>
        <w:framePr w:w="4066" w:h="4336" w:hRule="exact" w:hSpace="180" w:wrap="around" w:vAnchor="text" w:hAnchor="page" w:x="361" w:y="-801"/>
        <w:spacing w:after="0"/>
        <w:ind w:firstLine="708"/>
      </w:pPr>
    </w:p>
    <w:bookmarkStart w:id="0" w:name="_MON_957296569"/>
    <w:bookmarkStart w:id="1" w:name="_MON_958200993"/>
    <w:bookmarkStart w:id="2" w:name="_MON_958201497"/>
    <w:bookmarkEnd w:id="0"/>
    <w:bookmarkEnd w:id="1"/>
    <w:bookmarkEnd w:id="2"/>
    <w:bookmarkStart w:id="3" w:name="_MON_962180240"/>
    <w:bookmarkEnd w:id="3"/>
    <w:p w:rsidR="004961B5" w:rsidRPr="00C30CC6" w:rsidRDefault="004961B5" w:rsidP="008D67C9">
      <w:pPr>
        <w:spacing w:after="0" w:line="240" w:lineRule="auto"/>
        <w:rPr>
          <w:b/>
        </w:rPr>
      </w:pPr>
      <w:r w:rsidRPr="004961B5">
        <w:rPr>
          <w:rFonts w:ascii="Times New Roman" w:hAnsi="Times New Roman"/>
          <w:b/>
        </w:rPr>
        <w:object w:dxaOrig="4275" w:dyaOrig="3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01.25pt" o:ole="" fillcolor="window">
            <v:imagedata r:id="rId8" o:title=""/>
          </v:shape>
          <o:OLEObject Type="Embed" ProgID="Word.Picture.8" ShapeID="_x0000_i1025" DrawAspect="Content" ObjectID="_1548757060" r:id="rId9"/>
        </w:object>
      </w:r>
    </w:p>
    <w:p w:rsidR="004961B5" w:rsidRPr="00C30CC6" w:rsidRDefault="004961B5" w:rsidP="004961B5">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4961B5" w:rsidRPr="00C30CC6" w:rsidTr="004961B5">
        <w:trPr>
          <w:cantSplit/>
        </w:trPr>
        <w:tc>
          <w:tcPr>
            <w:tcW w:w="9212" w:type="dxa"/>
            <w:tcBorders>
              <w:top w:val="single" w:sz="12" w:space="0" w:color="auto"/>
              <w:left w:val="single" w:sz="12" w:space="0" w:color="auto"/>
              <w:bottom w:val="single" w:sz="12" w:space="0" w:color="auto"/>
              <w:right w:val="single" w:sz="12" w:space="0" w:color="auto"/>
            </w:tcBorders>
            <w:shd w:val="pct12" w:color="auto" w:fill="FFFFFF"/>
            <w:vAlign w:val="center"/>
          </w:tcPr>
          <w:p w:rsidR="004961B5" w:rsidRPr="00C30CC6" w:rsidRDefault="004961B5" w:rsidP="004961B5">
            <w:pPr>
              <w:spacing w:after="0" w:line="240" w:lineRule="auto"/>
              <w:jc w:val="center"/>
              <w:rPr>
                <w:b/>
                <w:smallCaps/>
                <w:sz w:val="28"/>
              </w:rPr>
            </w:pPr>
          </w:p>
          <w:p w:rsidR="004961B5" w:rsidRPr="00C30CC6" w:rsidRDefault="004961B5" w:rsidP="004961B5">
            <w:pPr>
              <w:spacing w:after="0" w:line="240" w:lineRule="auto"/>
              <w:jc w:val="center"/>
              <w:rPr>
                <w:b/>
                <w:smallCaps/>
                <w:sz w:val="36"/>
              </w:rPr>
            </w:pPr>
            <w:r w:rsidRPr="00C30CC6">
              <w:rPr>
                <w:b/>
                <w:smallCaps/>
                <w:sz w:val="36"/>
              </w:rPr>
              <w:t>Projekt Stanowiska RP</w:t>
            </w:r>
          </w:p>
          <w:p w:rsidR="004961B5" w:rsidRPr="00C30CC6" w:rsidRDefault="004961B5" w:rsidP="004961B5">
            <w:pPr>
              <w:pStyle w:val="Nagwek3"/>
              <w:shd w:val="pct12" w:color="auto" w:fill="FFFFFF"/>
              <w:spacing w:before="0" w:after="0"/>
              <w:jc w:val="center"/>
              <w:rPr>
                <w:rFonts w:ascii="Calibri" w:hAnsi="Calibri"/>
                <w:b/>
                <w:smallCaps/>
              </w:rPr>
            </w:pPr>
          </w:p>
          <w:p w:rsidR="004961B5" w:rsidRPr="00C30CC6" w:rsidRDefault="004961B5" w:rsidP="004961B5">
            <w:pPr>
              <w:spacing w:after="0" w:line="240" w:lineRule="auto"/>
              <w:jc w:val="center"/>
              <w:rPr>
                <w:i/>
              </w:rPr>
            </w:pPr>
            <w:r w:rsidRPr="00C30CC6">
              <w:rPr>
                <w:i/>
              </w:rPr>
              <w:t xml:space="preserve">przygotowany w związku z art. </w:t>
            </w:r>
            <w:r w:rsidR="007E0AE4" w:rsidRPr="00C30CC6">
              <w:rPr>
                <w:i/>
              </w:rPr>
              <w:t>7</w:t>
            </w:r>
            <w:r w:rsidRPr="00C30CC6">
              <w:rPr>
                <w:i/>
              </w:rPr>
              <w:t xml:space="preserve"> ustawy z dnia 8 października 2010 r. </w:t>
            </w:r>
          </w:p>
          <w:p w:rsidR="004961B5" w:rsidRPr="00C30CC6" w:rsidRDefault="004961B5" w:rsidP="004961B5">
            <w:pPr>
              <w:spacing w:after="0" w:line="240" w:lineRule="auto"/>
              <w:jc w:val="center"/>
              <w:rPr>
                <w:i/>
              </w:rPr>
            </w:pPr>
            <w:r w:rsidRPr="00C30CC6">
              <w:rPr>
                <w:i/>
              </w:rPr>
              <w:t>o współpracy Rady Ministrów z Sejmem i Senatem w sprawach związanych z członkostwem Rzeczypospolitej Polskiej w Unii Europejskiej (Dz. U. Nr 213, poz. 1395)</w:t>
            </w:r>
          </w:p>
          <w:p w:rsidR="004961B5" w:rsidRPr="00C30CC6" w:rsidRDefault="004961B5" w:rsidP="004961B5">
            <w:pPr>
              <w:spacing w:after="0" w:line="240" w:lineRule="auto"/>
              <w:jc w:val="center"/>
              <w:rPr>
                <w:i/>
              </w:rPr>
            </w:pPr>
          </w:p>
        </w:tc>
      </w:tr>
    </w:tbl>
    <w:p w:rsidR="004961B5" w:rsidRPr="00C30CC6" w:rsidRDefault="004961B5" w:rsidP="004961B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307"/>
      </w:tblGrid>
      <w:tr w:rsidR="004961B5" w:rsidRPr="00C30CC6" w:rsidTr="004961B5">
        <w:tc>
          <w:tcPr>
            <w:tcW w:w="2905" w:type="dxa"/>
            <w:tcBorders>
              <w:top w:val="single" w:sz="12" w:space="0" w:color="auto"/>
              <w:left w:val="single" w:sz="12" w:space="0" w:color="auto"/>
              <w:bottom w:val="single" w:sz="12" w:space="0" w:color="auto"/>
              <w:right w:val="single" w:sz="12" w:space="0" w:color="auto"/>
            </w:tcBorders>
            <w:shd w:val="pct12" w:color="auto" w:fill="FFFFFF"/>
            <w:vAlign w:val="center"/>
          </w:tcPr>
          <w:p w:rsidR="004961B5" w:rsidRPr="00C30CC6" w:rsidRDefault="004961B5" w:rsidP="004961B5">
            <w:pPr>
              <w:spacing w:after="0" w:line="240" w:lineRule="auto"/>
              <w:rPr>
                <w:sz w:val="26"/>
              </w:rPr>
            </w:pPr>
            <w:r w:rsidRPr="00C30CC6">
              <w:rPr>
                <w:b/>
                <w:sz w:val="26"/>
              </w:rPr>
              <w:t>Dotyczy</w:t>
            </w:r>
          </w:p>
        </w:tc>
        <w:tc>
          <w:tcPr>
            <w:tcW w:w="6307" w:type="dxa"/>
            <w:tcBorders>
              <w:top w:val="single" w:sz="12" w:space="0" w:color="auto"/>
              <w:left w:val="single" w:sz="12" w:space="0" w:color="auto"/>
              <w:bottom w:val="single" w:sz="12" w:space="0" w:color="auto"/>
              <w:right w:val="single" w:sz="12" w:space="0" w:color="auto"/>
            </w:tcBorders>
          </w:tcPr>
          <w:p w:rsidR="004961B5" w:rsidRPr="00C30CC6" w:rsidRDefault="004961B5" w:rsidP="004961B5">
            <w:pPr>
              <w:spacing w:after="0" w:line="240" w:lineRule="auto"/>
              <w:jc w:val="both"/>
            </w:pPr>
            <w:r>
              <w:rPr>
                <w:sz w:val="26"/>
              </w:rPr>
              <w:t>Wniosek ROZPORZĄDZENIE PARLAMENTU EUROPEJSKIEGO I RADY w sprawie ram na potrzeby prowadzenia działań naprawczych oraz restrukturyzacji i uporządkowanej likwidacji w odniesieniu do kontrahentów centralnych oraz zmieniające rozporządzenia (UE) nr 1095/2010, (UE) nr 648/2012 i (UE) 2015/2365</w:t>
            </w:r>
          </w:p>
        </w:tc>
      </w:tr>
    </w:tbl>
    <w:p w:rsidR="004961B5" w:rsidRPr="00C30CC6" w:rsidRDefault="004961B5" w:rsidP="004961B5">
      <w:pPr>
        <w:spacing w:after="0" w:line="240" w:lineRule="auto"/>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307"/>
      </w:tblGrid>
      <w:tr w:rsidR="004961B5" w:rsidRPr="00C30CC6" w:rsidTr="004961B5">
        <w:tc>
          <w:tcPr>
            <w:tcW w:w="2905" w:type="dxa"/>
            <w:tcBorders>
              <w:top w:val="single" w:sz="12" w:space="0" w:color="auto"/>
              <w:left w:val="single" w:sz="12" w:space="0" w:color="auto"/>
              <w:bottom w:val="single" w:sz="12" w:space="0" w:color="auto"/>
              <w:right w:val="single" w:sz="12" w:space="0" w:color="auto"/>
            </w:tcBorders>
            <w:shd w:val="pct12" w:color="auto" w:fill="FFFFFF"/>
            <w:vAlign w:val="center"/>
          </w:tcPr>
          <w:p w:rsidR="004961B5" w:rsidRPr="00C30CC6" w:rsidRDefault="007E0AE4" w:rsidP="004961B5">
            <w:pPr>
              <w:spacing w:after="0" w:line="240" w:lineRule="auto"/>
              <w:rPr>
                <w:sz w:val="26"/>
              </w:rPr>
            </w:pPr>
            <w:r w:rsidRPr="00C30CC6">
              <w:rPr>
                <w:b/>
                <w:sz w:val="26"/>
              </w:rPr>
              <w:t>Data przekazania Polsce dokumentu przez instytucje UE</w:t>
            </w:r>
          </w:p>
        </w:tc>
        <w:tc>
          <w:tcPr>
            <w:tcW w:w="6307" w:type="dxa"/>
            <w:tcBorders>
              <w:top w:val="single" w:sz="12" w:space="0" w:color="auto"/>
              <w:left w:val="single" w:sz="12" w:space="0" w:color="auto"/>
              <w:bottom w:val="single" w:sz="12" w:space="0" w:color="auto"/>
              <w:right w:val="single" w:sz="12" w:space="0" w:color="auto"/>
            </w:tcBorders>
            <w:vAlign w:val="center"/>
          </w:tcPr>
          <w:p w:rsidR="004961B5" w:rsidRPr="00C30CC6" w:rsidRDefault="004961B5" w:rsidP="004961B5">
            <w:pPr>
              <w:spacing w:after="0" w:line="240" w:lineRule="auto"/>
              <w:rPr>
                <w:sz w:val="26"/>
              </w:rPr>
            </w:pPr>
            <w:r>
              <w:rPr>
                <w:sz w:val="26"/>
              </w:rPr>
              <w:t>1 lutego 2017 r.</w:t>
            </w:r>
          </w:p>
        </w:tc>
      </w:tr>
    </w:tbl>
    <w:p w:rsidR="004961B5" w:rsidRPr="00C30CC6" w:rsidRDefault="004961B5" w:rsidP="004961B5">
      <w:pPr>
        <w:spacing w:after="0" w:line="240" w:lineRule="auto"/>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3402"/>
        <w:gridCol w:w="2905"/>
      </w:tblGrid>
      <w:tr w:rsidR="004961B5" w:rsidRPr="00C30CC6" w:rsidTr="004961B5">
        <w:trPr>
          <w:cantSplit/>
        </w:trPr>
        <w:tc>
          <w:tcPr>
            <w:tcW w:w="2905" w:type="dxa"/>
            <w:vMerge w:val="restart"/>
            <w:tcBorders>
              <w:top w:val="single" w:sz="12" w:space="0" w:color="auto"/>
              <w:left w:val="single" w:sz="12" w:space="0" w:color="auto"/>
              <w:bottom w:val="nil"/>
              <w:right w:val="nil"/>
            </w:tcBorders>
            <w:shd w:val="pct12" w:color="auto" w:fill="FFFFFF"/>
            <w:vAlign w:val="center"/>
          </w:tcPr>
          <w:p w:rsidR="004961B5" w:rsidRPr="00C30CC6" w:rsidRDefault="004961B5" w:rsidP="004961B5">
            <w:pPr>
              <w:spacing w:after="0" w:line="240" w:lineRule="auto"/>
              <w:rPr>
                <w:b/>
                <w:sz w:val="26"/>
              </w:rPr>
            </w:pPr>
            <w:r w:rsidRPr="00C30CC6">
              <w:rPr>
                <w:b/>
                <w:sz w:val="26"/>
              </w:rPr>
              <w:t>Sygnatura dokumentu</w:t>
            </w:r>
          </w:p>
        </w:tc>
        <w:tc>
          <w:tcPr>
            <w:tcW w:w="3402" w:type="dxa"/>
            <w:tcBorders>
              <w:top w:val="single" w:sz="12" w:space="0" w:color="auto"/>
              <w:left w:val="single" w:sz="12" w:space="0" w:color="auto"/>
              <w:bottom w:val="single" w:sz="12" w:space="0" w:color="auto"/>
              <w:right w:val="single" w:sz="12" w:space="0" w:color="auto"/>
            </w:tcBorders>
            <w:vAlign w:val="center"/>
          </w:tcPr>
          <w:p w:rsidR="004961B5" w:rsidRPr="00C30CC6" w:rsidRDefault="004961B5" w:rsidP="004961B5">
            <w:pPr>
              <w:spacing w:after="0" w:line="240" w:lineRule="auto"/>
              <w:rPr>
                <w:sz w:val="26"/>
              </w:rPr>
            </w:pPr>
            <w:r w:rsidRPr="00C30CC6">
              <w:rPr>
                <w:sz w:val="26"/>
              </w:rPr>
              <w:t>Komisja Europejska</w:t>
            </w:r>
          </w:p>
        </w:tc>
        <w:tc>
          <w:tcPr>
            <w:tcW w:w="2905" w:type="dxa"/>
            <w:tcBorders>
              <w:top w:val="single" w:sz="12" w:space="0" w:color="auto"/>
              <w:left w:val="nil"/>
              <w:bottom w:val="single" w:sz="12" w:space="0" w:color="auto"/>
              <w:right w:val="single" w:sz="12" w:space="0" w:color="auto"/>
            </w:tcBorders>
            <w:vAlign w:val="center"/>
          </w:tcPr>
          <w:p w:rsidR="004961B5" w:rsidRPr="00C30CC6" w:rsidRDefault="004961B5" w:rsidP="004961B5">
            <w:pPr>
              <w:spacing w:after="0" w:line="240" w:lineRule="auto"/>
              <w:rPr>
                <w:sz w:val="26"/>
              </w:rPr>
            </w:pPr>
            <w:r>
              <w:rPr>
                <w:sz w:val="26"/>
              </w:rPr>
              <w:t>COM(2016) 856</w:t>
            </w:r>
          </w:p>
        </w:tc>
      </w:tr>
      <w:tr w:rsidR="004961B5" w:rsidRPr="00C30CC6" w:rsidTr="004961B5">
        <w:trPr>
          <w:cantSplit/>
        </w:trPr>
        <w:tc>
          <w:tcPr>
            <w:tcW w:w="2905" w:type="dxa"/>
            <w:vMerge/>
            <w:tcBorders>
              <w:top w:val="nil"/>
              <w:left w:val="single" w:sz="12" w:space="0" w:color="auto"/>
              <w:bottom w:val="single" w:sz="12" w:space="0" w:color="auto"/>
              <w:right w:val="nil"/>
            </w:tcBorders>
            <w:shd w:val="pct12" w:color="auto" w:fill="FFFFFF"/>
            <w:vAlign w:val="center"/>
          </w:tcPr>
          <w:p w:rsidR="004961B5" w:rsidRPr="00C30CC6" w:rsidRDefault="004961B5" w:rsidP="004961B5">
            <w:pPr>
              <w:spacing w:after="0" w:line="240" w:lineRule="auto"/>
              <w:rPr>
                <w:b/>
                <w:sz w:val="26"/>
              </w:rPr>
            </w:pPr>
          </w:p>
        </w:tc>
        <w:tc>
          <w:tcPr>
            <w:tcW w:w="3402" w:type="dxa"/>
            <w:tcBorders>
              <w:top w:val="single" w:sz="12" w:space="0" w:color="auto"/>
              <w:left w:val="single" w:sz="12" w:space="0" w:color="auto"/>
              <w:bottom w:val="single" w:sz="12" w:space="0" w:color="auto"/>
              <w:right w:val="single" w:sz="12" w:space="0" w:color="auto"/>
            </w:tcBorders>
            <w:vAlign w:val="center"/>
          </w:tcPr>
          <w:p w:rsidR="004961B5" w:rsidRPr="00C30CC6" w:rsidRDefault="004961B5" w:rsidP="004961B5">
            <w:pPr>
              <w:spacing w:after="0" w:line="240" w:lineRule="auto"/>
              <w:rPr>
                <w:sz w:val="26"/>
              </w:rPr>
            </w:pPr>
            <w:r w:rsidRPr="00C30CC6">
              <w:rPr>
                <w:sz w:val="26"/>
              </w:rPr>
              <w:t>Numer międzyinstytucjonalny</w:t>
            </w:r>
          </w:p>
        </w:tc>
        <w:tc>
          <w:tcPr>
            <w:tcW w:w="2905" w:type="dxa"/>
            <w:tcBorders>
              <w:top w:val="single" w:sz="12" w:space="0" w:color="auto"/>
              <w:left w:val="nil"/>
              <w:bottom w:val="single" w:sz="12" w:space="0" w:color="auto"/>
              <w:right w:val="single" w:sz="12" w:space="0" w:color="auto"/>
            </w:tcBorders>
            <w:vAlign w:val="center"/>
          </w:tcPr>
          <w:p w:rsidR="004961B5" w:rsidRPr="00C30CC6" w:rsidRDefault="004961B5" w:rsidP="004961B5">
            <w:pPr>
              <w:spacing w:after="0" w:line="240" w:lineRule="auto"/>
              <w:rPr>
                <w:sz w:val="26"/>
              </w:rPr>
            </w:pPr>
            <w:r>
              <w:rPr>
                <w:sz w:val="26"/>
              </w:rPr>
              <w:t>2016/0365  (COD)</w:t>
            </w:r>
          </w:p>
        </w:tc>
      </w:tr>
    </w:tbl>
    <w:p w:rsidR="004961B5" w:rsidRPr="00C30CC6" w:rsidRDefault="004961B5" w:rsidP="004961B5">
      <w:pPr>
        <w:spacing w:after="0" w:line="240" w:lineRule="auto"/>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307"/>
      </w:tblGrid>
      <w:tr w:rsidR="004961B5" w:rsidRPr="00C30CC6" w:rsidTr="004961B5">
        <w:trPr>
          <w:trHeight w:val="466"/>
        </w:trPr>
        <w:tc>
          <w:tcPr>
            <w:tcW w:w="2905" w:type="dxa"/>
            <w:tcBorders>
              <w:top w:val="single" w:sz="12" w:space="0" w:color="auto"/>
              <w:left w:val="single" w:sz="12" w:space="0" w:color="auto"/>
              <w:bottom w:val="single" w:sz="12" w:space="0" w:color="auto"/>
              <w:right w:val="single" w:sz="12" w:space="0" w:color="auto"/>
            </w:tcBorders>
            <w:shd w:val="pct12" w:color="auto" w:fill="FFFFFF"/>
            <w:vAlign w:val="center"/>
          </w:tcPr>
          <w:p w:rsidR="004961B5" w:rsidRPr="00C30CC6" w:rsidRDefault="004961B5" w:rsidP="004961B5">
            <w:pPr>
              <w:spacing w:after="0" w:line="240" w:lineRule="auto"/>
              <w:rPr>
                <w:b/>
                <w:sz w:val="26"/>
              </w:rPr>
            </w:pPr>
            <w:r w:rsidRPr="00C30CC6">
              <w:rPr>
                <w:b/>
                <w:sz w:val="26"/>
              </w:rPr>
              <w:t>Procedura decyzyjna</w:t>
            </w:r>
          </w:p>
        </w:tc>
        <w:tc>
          <w:tcPr>
            <w:tcW w:w="6307" w:type="dxa"/>
            <w:tcBorders>
              <w:top w:val="single" w:sz="12" w:space="0" w:color="auto"/>
              <w:left w:val="single" w:sz="12" w:space="0" w:color="auto"/>
              <w:bottom w:val="single" w:sz="12" w:space="0" w:color="auto"/>
              <w:right w:val="single" w:sz="12" w:space="0" w:color="auto"/>
            </w:tcBorders>
            <w:vAlign w:val="center"/>
          </w:tcPr>
          <w:p w:rsidR="004961B5" w:rsidRPr="00C30CC6" w:rsidRDefault="004961B5" w:rsidP="004961B5">
            <w:pPr>
              <w:spacing w:after="0" w:line="240" w:lineRule="auto"/>
              <w:rPr>
                <w:sz w:val="26"/>
              </w:rPr>
            </w:pPr>
            <w:r>
              <w:rPr>
                <w:sz w:val="26"/>
              </w:rPr>
              <w:t>zwykła procedura ustawodawcza</w:t>
            </w:r>
          </w:p>
        </w:tc>
      </w:tr>
    </w:tbl>
    <w:p w:rsidR="004961B5" w:rsidRPr="00C30CC6" w:rsidRDefault="004961B5" w:rsidP="004961B5">
      <w:pPr>
        <w:spacing w:after="0" w:line="240" w:lineRule="auto"/>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307"/>
      </w:tblGrid>
      <w:tr w:rsidR="004961B5" w:rsidRPr="00C30CC6" w:rsidTr="004961B5">
        <w:tc>
          <w:tcPr>
            <w:tcW w:w="2905" w:type="dxa"/>
            <w:tcBorders>
              <w:top w:val="single" w:sz="12" w:space="0" w:color="auto"/>
              <w:left w:val="single" w:sz="12" w:space="0" w:color="auto"/>
              <w:bottom w:val="single" w:sz="12" w:space="0" w:color="auto"/>
              <w:right w:val="single" w:sz="12" w:space="0" w:color="auto"/>
            </w:tcBorders>
            <w:shd w:val="pct12" w:color="auto" w:fill="FFFFFF"/>
            <w:vAlign w:val="center"/>
          </w:tcPr>
          <w:p w:rsidR="004961B5" w:rsidRPr="00C30CC6" w:rsidRDefault="004961B5" w:rsidP="004961B5">
            <w:pPr>
              <w:spacing w:after="0" w:line="240" w:lineRule="auto"/>
              <w:rPr>
                <w:b/>
                <w:sz w:val="26"/>
              </w:rPr>
            </w:pPr>
            <w:r w:rsidRPr="00C30CC6">
              <w:rPr>
                <w:b/>
                <w:sz w:val="26"/>
              </w:rPr>
              <w:t>Tryb głosowania w Radzie UE</w:t>
            </w:r>
          </w:p>
        </w:tc>
        <w:tc>
          <w:tcPr>
            <w:tcW w:w="6307" w:type="dxa"/>
            <w:tcBorders>
              <w:top w:val="single" w:sz="12" w:space="0" w:color="auto"/>
              <w:left w:val="single" w:sz="12" w:space="0" w:color="auto"/>
              <w:bottom w:val="single" w:sz="12" w:space="0" w:color="auto"/>
              <w:right w:val="single" w:sz="12" w:space="0" w:color="auto"/>
            </w:tcBorders>
            <w:vAlign w:val="center"/>
          </w:tcPr>
          <w:p w:rsidR="004961B5" w:rsidRPr="00C30CC6" w:rsidRDefault="004961B5" w:rsidP="004961B5">
            <w:pPr>
              <w:spacing w:after="0" w:line="240" w:lineRule="auto"/>
            </w:pPr>
            <w:r>
              <w:rPr>
                <w:sz w:val="26"/>
              </w:rPr>
              <w:t xml:space="preserve"> </w:t>
            </w:r>
          </w:p>
        </w:tc>
      </w:tr>
    </w:tbl>
    <w:p w:rsidR="004961B5" w:rsidRPr="00C30CC6" w:rsidRDefault="004961B5" w:rsidP="004961B5">
      <w:pPr>
        <w:spacing w:after="0" w:line="240" w:lineRule="auto"/>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307"/>
      </w:tblGrid>
      <w:tr w:rsidR="004961B5" w:rsidRPr="00C30CC6" w:rsidTr="004961B5">
        <w:trPr>
          <w:trHeight w:val="488"/>
        </w:trPr>
        <w:tc>
          <w:tcPr>
            <w:tcW w:w="2905" w:type="dxa"/>
            <w:tcBorders>
              <w:top w:val="single" w:sz="12" w:space="0" w:color="auto"/>
              <w:left w:val="single" w:sz="12" w:space="0" w:color="auto"/>
              <w:bottom w:val="single" w:sz="12" w:space="0" w:color="auto"/>
              <w:right w:val="single" w:sz="12" w:space="0" w:color="auto"/>
            </w:tcBorders>
            <w:shd w:val="pct12" w:color="auto" w:fill="FFFFFF"/>
            <w:vAlign w:val="center"/>
          </w:tcPr>
          <w:p w:rsidR="004961B5" w:rsidRPr="00C30CC6" w:rsidRDefault="004961B5" w:rsidP="004961B5">
            <w:pPr>
              <w:pStyle w:val="Nagwek1"/>
              <w:rPr>
                <w:rFonts w:ascii="Calibri" w:hAnsi="Calibri"/>
              </w:rPr>
            </w:pPr>
            <w:r w:rsidRPr="00C30CC6">
              <w:rPr>
                <w:rFonts w:ascii="Calibri" w:hAnsi="Calibri"/>
              </w:rPr>
              <w:t xml:space="preserve">Instytucja wiodąca </w:t>
            </w:r>
          </w:p>
        </w:tc>
        <w:tc>
          <w:tcPr>
            <w:tcW w:w="6307" w:type="dxa"/>
            <w:tcBorders>
              <w:top w:val="single" w:sz="12" w:space="0" w:color="auto"/>
              <w:left w:val="single" w:sz="12" w:space="0" w:color="auto"/>
              <w:bottom w:val="single" w:sz="12" w:space="0" w:color="auto"/>
              <w:right w:val="single" w:sz="12" w:space="0" w:color="auto"/>
            </w:tcBorders>
            <w:vAlign w:val="center"/>
          </w:tcPr>
          <w:p w:rsidR="004961B5" w:rsidRPr="00C30CC6" w:rsidRDefault="004961B5" w:rsidP="004961B5">
            <w:pPr>
              <w:spacing w:after="0" w:line="240" w:lineRule="auto"/>
            </w:pPr>
            <w:r>
              <w:rPr>
                <w:sz w:val="26"/>
              </w:rPr>
              <w:t>Ministerstwo Finansów</w:t>
            </w:r>
          </w:p>
        </w:tc>
      </w:tr>
    </w:tbl>
    <w:p w:rsidR="004961B5" w:rsidRPr="00C30CC6" w:rsidRDefault="004961B5" w:rsidP="004961B5">
      <w:pPr>
        <w:spacing w:after="0" w:line="240"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307"/>
      </w:tblGrid>
      <w:tr w:rsidR="004961B5" w:rsidRPr="00C30CC6" w:rsidTr="004961B5">
        <w:tc>
          <w:tcPr>
            <w:tcW w:w="2905" w:type="dxa"/>
            <w:tcBorders>
              <w:top w:val="single" w:sz="12" w:space="0" w:color="auto"/>
              <w:left w:val="single" w:sz="12" w:space="0" w:color="auto"/>
              <w:bottom w:val="single" w:sz="12" w:space="0" w:color="auto"/>
              <w:right w:val="single" w:sz="12" w:space="0" w:color="auto"/>
            </w:tcBorders>
            <w:shd w:val="pct12" w:color="auto" w:fill="FFFFFF"/>
            <w:vAlign w:val="center"/>
          </w:tcPr>
          <w:p w:rsidR="004961B5" w:rsidRPr="00C30CC6" w:rsidRDefault="004961B5" w:rsidP="004961B5">
            <w:pPr>
              <w:spacing w:after="0" w:line="240" w:lineRule="auto"/>
              <w:rPr>
                <w:b/>
                <w:sz w:val="26"/>
              </w:rPr>
            </w:pPr>
            <w:r w:rsidRPr="00C30CC6">
              <w:rPr>
                <w:b/>
                <w:sz w:val="26"/>
              </w:rPr>
              <w:lastRenderedPageBreak/>
              <w:t xml:space="preserve">Instytucje współpracujące </w:t>
            </w:r>
          </w:p>
        </w:tc>
        <w:tc>
          <w:tcPr>
            <w:tcW w:w="6307" w:type="dxa"/>
            <w:tcBorders>
              <w:top w:val="single" w:sz="12" w:space="0" w:color="auto"/>
              <w:left w:val="single" w:sz="12" w:space="0" w:color="auto"/>
              <w:bottom w:val="single" w:sz="12" w:space="0" w:color="auto"/>
              <w:right w:val="single" w:sz="12" w:space="0" w:color="auto"/>
            </w:tcBorders>
            <w:vAlign w:val="center"/>
          </w:tcPr>
          <w:p w:rsidR="004961B5" w:rsidRPr="00C30CC6" w:rsidRDefault="004961B5" w:rsidP="004961B5">
            <w:pPr>
              <w:spacing w:after="0" w:line="240" w:lineRule="auto"/>
            </w:pPr>
            <w:r>
              <w:rPr>
                <w:sz w:val="26"/>
              </w:rPr>
              <w:t xml:space="preserve"> </w:t>
            </w:r>
          </w:p>
        </w:tc>
      </w:tr>
    </w:tbl>
    <w:p w:rsidR="004961B5" w:rsidRPr="00C30CC6" w:rsidRDefault="004961B5" w:rsidP="004961B5">
      <w:pPr>
        <w:spacing w:after="0" w:line="240" w:lineRule="auto"/>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307"/>
      </w:tblGrid>
      <w:tr w:rsidR="004961B5" w:rsidRPr="00C30CC6" w:rsidTr="004961B5">
        <w:tc>
          <w:tcPr>
            <w:tcW w:w="2905" w:type="dxa"/>
            <w:tcBorders>
              <w:top w:val="single" w:sz="12" w:space="0" w:color="auto"/>
              <w:left w:val="single" w:sz="12" w:space="0" w:color="auto"/>
              <w:bottom w:val="single" w:sz="12" w:space="0" w:color="auto"/>
              <w:right w:val="single" w:sz="12" w:space="0" w:color="auto"/>
            </w:tcBorders>
            <w:shd w:val="pct12" w:color="auto" w:fill="FFFFFF"/>
            <w:vAlign w:val="center"/>
          </w:tcPr>
          <w:p w:rsidR="00A07714" w:rsidRDefault="004961B5" w:rsidP="004961B5">
            <w:pPr>
              <w:spacing w:after="0" w:line="240" w:lineRule="auto"/>
              <w:rPr>
                <w:b/>
                <w:sz w:val="26"/>
              </w:rPr>
            </w:pPr>
            <w:r w:rsidRPr="00C30CC6">
              <w:rPr>
                <w:b/>
                <w:sz w:val="26"/>
              </w:rPr>
              <w:t xml:space="preserve">Data przyjęcia </w:t>
            </w:r>
          </w:p>
          <w:p w:rsidR="004961B5" w:rsidRPr="00C30CC6" w:rsidRDefault="004961B5" w:rsidP="004961B5">
            <w:pPr>
              <w:spacing w:after="0" w:line="240" w:lineRule="auto"/>
              <w:rPr>
                <w:b/>
                <w:sz w:val="26"/>
              </w:rPr>
            </w:pPr>
            <w:r w:rsidRPr="00C30CC6">
              <w:rPr>
                <w:b/>
                <w:sz w:val="26"/>
              </w:rPr>
              <w:t>przez KSE</w:t>
            </w:r>
          </w:p>
        </w:tc>
        <w:tc>
          <w:tcPr>
            <w:tcW w:w="6307" w:type="dxa"/>
            <w:tcBorders>
              <w:top w:val="single" w:sz="12" w:space="0" w:color="auto"/>
              <w:left w:val="single" w:sz="12" w:space="0" w:color="auto"/>
              <w:bottom w:val="single" w:sz="12" w:space="0" w:color="auto"/>
              <w:right w:val="single" w:sz="12" w:space="0" w:color="auto"/>
            </w:tcBorders>
            <w:vAlign w:val="center"/>
          </w:tcPr>
          <w:p w:rsidR="004961B5" w:rsidRPr="00C30CC6" w:rsidRDefault="004961B5" w:rsidP="004961B5">
            <w:pPr>
              <w:pStyle w:val="Nagwek8"/>
              <w:rPr>
                <w:rFonts w:ascii="Calibri" w:hAnsi="Calibri"/>
                <w:i w:val="0"/>
              </w:rPr>
            </w:pPr>
          </w:p>
        </w:tc>
      </w:tr>
    </w:tbl>
    <w:p w:rsidR="004961B5" w:rsidRPr="00C30CC6" w:rsidRDefault="004961B5" w:rsidP="004961B5">
      <w:pPr>
        <w:spacing w:after="0" w:line="240" w:lineRule="auto"/>
        <w:rPr>
          <w:b/>
          <w:sz w:val="26"/>
        </w:rPr>
        <w:sectPr w:rsidR="004961B5" w:rsidRPr="00C30CC6">
          <w:pgSz w:w="11906" w:h="16838"/>
          <w:pgMar w:top="1417" w:right="1417" w:bottom="1417" w:left="1417" w:header="708" w:footer="708" w:gutter="0"/>
          <w:cols w:space="708"/>
          <w:docGrid w:linePitch="360"/>
        </w:sectPr>
      </w:pPr>
    </w:p>
    <w:p w:rsidR="004961B5" w:rsidRPr="00C30CC6" w:rsidRDefault="004961B5" w:rsidP="004961B5">
      <w:pPr>
        <w:pStyle w:val="Nagwek5"/>
        <w:rPr>
          <w:rFonts w:ascii="Calibri" w:hAnsi="Calibri"/>
        </w:rPr>
      </w:pPr>
      <w:r w:rsidRPr="00C30CC6">
        <w:rPr>
          <w:rFonts w:ascii="Calibri" w:hAnsi="Calibri"/>
        </w:rPr>
        <w:lastRenderedPageBreak/>
        <w:t>Cel projektu aktu prawnego</w:t>
      </w:r>
    </w:p>
    <w:p w:rsidR="004961B5" w:rsidRPr="00C30CC6" w:rsidRDefault="004961B5" w:rsidP="004961B5">
      <w:pPr>
        <w:spacing w:after="0" w:line="240" w:lineRule="auto"/>
      </w:pPr>
    </w:p>
    <w:p w:rsidR="002C20C1" w:rsidRDefault="000D7CED" w:rsidP="007F6551">
      <w:pPr>
        <w:tabs>
          <w:tab w:val="num" w:pos="1200"/>
        </w:tabs>
        <w:autoSpaceDE w:val="0"/>
        <w:autoSpaceDN w:val="0"/>
        <w:adjustRightInd w:val="0"/>
        <w:spacing w:before="120" w:after="120"/>
        <w:jc w:val="both"/>
        <w:rPr>
          <w:rFonts w:ascii="Times New Roman" w:hAnsi="Times New Roman"/>
          <w:noProof/>
          <w:sz w:val="24"/>
          <w:lang w:eastAsia="pl-PL" w:bidi="pl-PL"/>
        </w:rPr>
      </w:pPr>
      <w:r>
        <w:rPr>
          <w:rFonts w:ascii="Times New Roman" w:hAnsi="Times New Roman"/>
          <w:noProof/>
          <w:sz w:val="24"/>
          <w:lang w:eastAsia="pl-PL" w:bidi="pl-PL"/>
        </w:rPr>
        <w:t xml:space="preserve">Celem projektu jest wprowadzenie </w:t>
      </w:r>
      <w:r w:rsidR="002C20C1">
        <w:rPr>
          <w:rFonts w:ascii="Times New Roman" w:hAnsi="Times New Roman"/>
          <w:noProof/>
          <w:sz w:val="24"/>
          <w:lang w:eastAsia="pl-PL" w:bidi="pl-PL"/>
        </w:rPr>
        <w:t>do unijnego porządku prawnego sharmonizowanych przepisów dotyczących naprawy</w:t>
      </w:r>
      <w:r w:rsidR="00DD67CC">
        <w:rPr>
          <w:rFonts w:ascii="Times New Roman" w:hAnsi="Times New Roman"/>
          <w:noProof/>
          <w:sz w:val="24"/>
          <w:lang w:eastAsia="pl-PL" w:bidi="pl-PL"/>
        </w:rPr>
        <w:t>,</w:t>
      </w:r>
      <w:r w:rsidR="004F707B" w:rsidRPr="004F707B">
        <w:rPr>
          <w:rFonts w:ascii="Times New Roman" w:hAnsi="Times New Roman"/>
          <w:noProof/>
          <w:sz w:val="24"/>
          <w:lang w:eastAsia="pl-PL" w:bidi="pl-PL"/>
        </w:rPr>
        <w:t xml:space="preserve"> restrukturyzacj</w:t>
      </w:r>
      <w:r w:rsidR="00DD67CC">
        <w:rPr>
          <w:rFonts w:ascii="Times New Roman" w:hAnsi="Times New Roman"/>
          <w:noProof/>
          <w:sz w:val="24"/>
          <w:lang w:eastAsia="pl-PL" w:bidi="pl-PL"/>
        </w:rPr>
        <w:t>i</w:t>
      </w:r>
      <w:r w:rsidR="004F707B" w:rsidRPr="004F707B">
        <w:rPr>
          <w:rFonts w:ascii="Times New Roman" w:hAnsi="Times New Roman"/>
          <w:noProof/>
          <w:sz w:val="24"/>
          <w:lang w:eastAsia="pl-PL" w:bidi="pl-PL"/>
        </w:rPr>
        <w:t xml:space="preserve"> i uporządkowan</w:t>
      </w:r>
      <w:r w:rsidR="00DD67CC">
        <w:rPr>
          <w:rFonts w:ascii="Times New Roman" w:hAnsi="Times New Roman"/>
          <w:noProof/>
          <w:sz w:val="24"/>
          <w:lang w:eastAsia="pl-PL" w:bidi="pl-PL"/>
        </w:rPr>
        <w:t>ej</w:t>
      </w:r>
      <w:r w:rsidR="004F707B" w:rsidRPr="004F707B">
        <w:rPr>
          <w:rFonts w:ascii="Times New Roman" w:hAnsi="Times New Roman"/>
          <w:noProof/>
          <w:sz w:val="24"/>
          <w:lang w:eastAsia="pl-PL" w:bidi="pl-PL"/>
        </w:rPr>
        <w:t xml:space="preserve"> likwidacj</w:t>
      </w:r>
      <w:r w:rsidR="00DD67CC">
        <w:rPr>
          <w:rFonts w:ascii="Times New Roman" w:hAnsi="Times New Roman"/>
          <w:noProof/>
          <w:sz w:val="24"/>
          <w:lang w:eastAsia="pl-PL" w:bidi="pl-PL"/>
        </w:rPr>
        <w:t>i</w:t>
      </w:r>
      <w:r w:rsidR="00A24ECE">
        <w:rPr>
          <w:rFonts w:ascii="Times New Roman" w:hAnsi="Times New Roman"/>
          <w:noProof/>
          <w:sz w:val="24"/>
          <w:lang w:eastAsia="pl-PL" w:bidi="pl-PL"/>
        </w:rPr>
        <w:t xml:space="preserve"> </w:t>
      </w:r>
      <w:r w:rsidR="00391EEE">
        <w:rPr>
          <w:rFonts w:ascii="Times New Roman" w:hAnsi="Times New Roman"/>
          <w:noProof/>
          <w:sz w:val="24"/>
          <w:lang w:eastAsia="pl-PL" w:bidi="pl-PL"/>
        </w:rPr>
        <w:t xml:space="preserve">w odniesieniu do </w:t>
      </w:r>
      <w:r w:rsidR="00A24ECE">
        <w:rPr>
          <w:rFonts w:ascii="Times New Roman" w:hAnsi="Times New Roman"/>
          <w:noProof/>
          <w:sz w:val="24"/>
          <w:lang w:eastAsia="pl-PL" w:bidi="pl-PL"/>
        </w:rPr>
        <w:t xml:space="preserve">kontrachentów centaralnych </w:t>
      </w:r>
      <w:r w:rsidR="00186E71">
        <w:rPr>
          <w:rFonts w:ascii="Times New Roman" w:hAnsi="Times New Roman"/>
          <w:noProof/>
          <w:sz w:val="24"/>
          <w:lang w:eastAsia="pl-PL" w:bidi="pl-PL"/>
        </w:rPr>
        <w:t>(</w:t>
      </w:r>
      <w:r w:rsidR="00A24ECE">
        <w:rPr>
          <w:rFonts w:ascii="Times New Roman" w:hAnsi="Times New Roman"/>
          <w:noProof/>
          <w:sz w:val="24"/>
          <w:lang w:eastAsia="pl-PL" w:bidi="pl-PL"/>
        </w:rPr>
        <w:t>CCP</w:t>
      </w:r>
      <w:r w:rsidR="00186E71">
        <w:rPr>
          <w:rFonts w:ascii="Times New Roman" w:hAnsi="Times New Roman"/>
          <w:noProof/>
          <w:sz w:val="24"/>
          <w:lang w:eastAsia="pl-PL" w:bidi="pl-PL"/>
        </w:rPr>
        <w:t>)</w:t>
      </w:r>
      <w:r w:rsidR="00A24ECE">
        <w:rPr>
          <w:rFonts w:ascii="Times New Roman" w:hAnsi="Times New Roman"/>
          <w:noProof/>
          <w:sz w:val="24"/>
          <w:lang w:eastAsia="pl-PL" w:bidi="pl-PL"/>
        </w:rPr>
        <w:t>.</w:t>
      </w:r>
      <w:r w:rsidR="00DD67CC">
        <w:rPr>
          <w:rFonts w:ascii="Times New Roman" w:hAnsi="Times New Roman"/>
          <w:noProof/>
          <w:sz w:val="24"/>
          <w:lang w:eastAsia="pl-PL" w:bidi="pl-PL"/>
        </w:rPr>
        <w:t xml:space="preserve"> Podmity te funkcjonują w infrastrukturze wspólnotowego rynku kapitałowego na mocy rozporządzenia EMIR</w:t>
      </w:r>
      <w:r w:rsidR="003D6073">
        <w:rPr>
          <w:rStyle w:val="Odwoanieprzypisudolnego"/>
          <w:rFonts w:ascii="Times New Roman" w:hAnsi="Times New Roman"/>
          <w:noProof/>
          <w:sz w:val="24"/>
          <w:lang w:eastAsia="pl-PL" w:bidi="pl-PL"/>
        </w:rPr>
        <w:footnoteReference w:id="1"/>
      </w:r>
      <w:r w:rsidR="00DD67CC">
        <w:rPr>
          <w:rFonts w:ascii="Times New Roman" w:hAnsi="Times New Roman"/>
          <w:noProof/>
          <w:sz w:val="24"/>
          <w:lang w:eastAsia="pl-PL" w:bidi="pl-PL"/>
        </w:rPr>
        <w:t xml:space="preserve">, które wyznaczyło je do </w:t>
      </w:r>
      <w:r w:rsidR="00DD67CC" w:rsidRPr="00DD67CC">
        <w:rPr>
          <w:rFonts w:ascii="Times New Roman" w:hAnsi="Times New Roman"/>
          <w:noProof/>
          <w:sz w:val="24"/>
          <w:lang w:eastAsia="pl-PL" w:bidi="pl-PL"/>
        </w:rPr>
        <w:t>rozliczania standardowych instrumentów pochodnych będących przedmiotem transakcji poza rynkiem regulowanym (OTC)</w:t>
      </w:r>
      <w:r w:rsidR="00DD67CC">
        <w:rPr>
          <w:rFonts w:ascii="Times New Roman" w:hAnsi="Times New Roman"/>
          <w:noProof/>
          <w:sz w:val="24"/>
          <w:lang w:eastAsia="pl-PL" w:bidi="pl-PL"/>
        </w:rPr>
        <w:t xml:space="preserve">. </w:t>
      </w:r>
    </w:p>
    <w:p w:rsidR="00A24ECE" w:rsidRDefault="004F707B" w:rsidP="007F6551">
      <w:pPr>
        <w:tabs>
          <w:tab w:val="num" w:pos="1200"/>
        </w:tabs>
        <w:autoSpaceDE w:val="0"/>
        <w:autoSpaceDN w:val="0"/>
        <w:adjustRightInd w:val="0"/>
        <w:spacing w:before="120" w:after="120"/>
        <w:jc w:val="both"/>
        <w:rPr>
          <w:rFonts w:ascii="Times New Roman" w:hAnsi="Times New Roman"/>
          <w:noProof/>
          <w:sz w:val="24"/>
          <w:lang w:eastAsia="pl-PL" w:bidi="pl-PL"/>
        </w:rPr>
      </w:pPr>
      <w:r>
        <w:rPr>
          <w:rFonts w:ascii="Times New Roman" w:hAnsi="Times New Roman"/>
          <w:noProof/>
          <w:sz w:val="24"/>
          <w:lang w:eastAsia="pl-PL" w:bidi="pl-PL"/>
        </w:rPr>
        <w:t xml:space="preserve">U podstaw proponowanych </w:t>
      </w:r>
      <w:r w:rsidR="003D6073">
        <w:rPr>
          <w:rFonts w:ascii="Times New Roman" w:hAnsi="Times New Roman"/>
          <w:noProof/>
          <w:sz w:val="24"/>
          <w:lang w:eastAsia="pl-PL" w:bidi="pl-PL"/>
        </w:rPr>
        <w:t xml:space="preserve">przez Komisję Europejską </w:t>
      </w:r>
      <w:r>
        <w:rPr>
          <w:rFonts w:ascii="Times New Roman" w:hAnsi="Times New Roman"/>
          <w:noProof/>
          <w:sz w:val="24"/>
          <w:lang w:eastAsia="pl-PL" w:bidi="pl-PL"/>
        </w:rPr>
        <w:t xml:space="preserve">zmian leży dążenie </w:t>
      </w:r>
      <w:r w:rsidR="00A24ECE">
        <w:rPr>
          <w:rFonts w:ascii="Times New Roman" w:hAnsi="Times New Roman"/>
          <w:noProof/>
          <w:sz w:val="24"/>
          <w:lang w:eastAsia="pl-PL" w:bidi="pl-PL"/>
        </w:rPr>
        <w:t>do ochrony</w:t>
      </w:r>
      <w:r w:rsidR="00A24ECE" w:rsidRPr="004F707B">
        <w:rPr>
          <w:rFonts w:ascii="Times New Roman" w:hAnsi="Times New Roman"/>
          <w:noProof/>
          <w:sz w:val="24"/>
          <w:lang w:eastAsia="pl-PL" w:bidi="pl-PL"/>
        </w:rPr>
        <w:t xml:space="preserve"> stabilności finansowej, zapewnieni</w:t>
      </w:r>
      <w:r w:rsidR="003D6073">
        <w:rPr>
          <w:rFonts w:ascii="Times New Roman" w:hAnsi="Times New Roman"/>
          <w:noProof/>
          <w:sz w:val="24"/>
          <w:lang w:eastAsia="pl-PL" w:bidi="pl-PL"/>
        </w:rPr>
        <w:t>a</w:t>
      </w:r>
      <w:r w:rsidR="00A24ECE" w:rsidRPr="004F707B">
        <w:rPr>
          <w:rFonts w:ascii="Times New Roman" w:hAnsi="Times New Roman"/>
          <w:noProof/>
          <w:sz w:val="24"/>
          <w:lang w:eastAsia="pl-PL" w:bidi="pl-PL"/>
        </w:rPr>
        <w:t xml:space="preserve"> ciągłości funkcji krytycznych</w:t>
      </w:r>
      <w:r w:rsidR="003D6073">
        <w:rPr>
          <w:rFonts w:ascii="Times New Roman" w:hAnsi="Times New Roman"/>
          <w:noProof/>
          <w:sz w:val="24"/>
          <w:lang w:eastAsia="pl-PL" w:bidi="pl-PL"/>
        </w:rPr>
        <w:t xml:space="preserve"> infrastruktury rynku kapitałowego</w:t>
      </w:r>
      <w:r w:rsidR="00A24ECE" w:rsidRPr="004F707B">
        <w:rPr>
          <w:rFonts w:ascii="Times New Roman" w:hAnsi="Times New Roman"/>
          <w:noProof/>
          <w:sz w:val="24"/>
          <w:lang w:eastAsia="pl-PL" w:bidi="pl-PL"/>
        </w:rPr>
        <w:t xml:space="preserve">, a także </w:t>
      </w:r>
      <w:r w:rsidR="003D6073">
        <w:rPr>
          <w:rFonts w:ascii="Times New Roman" w:hAnsi="Times New Roman"/>
          <w:noProof/>
          <w:sz w:val="24"/>
          <w:lang w:eastAsia="pl-PL" w:bidi="pl-PL"/>
        </w:rPr>
        <w:t>potrzeba zpewnienia należytej ochrony</w:t>
      </w:r>
      <w:r w:rsidR="00A24ECE" w:rsidRPr="004F707B">
        <w:rPr>
          <w:rFonts w:ascii="Times New Roman" w:hAnsi="Times New Roman"/>
          <w:noProof/>
          <w:sz w:val="24"/>
          <w:lang w:eastAsia="pl-PL" w:bidi="pl-PL"/>
        </w:rPr>
        <w:t xml:space="preserve"> </w:t>
      </w:r>
      <w:r w:rsidR="003D6073">
        <w:rPr>
          <w:rFonts w:ascii="Times New Roman" w:hAnsi="Times New Roman"/>
          <w:noProof/>
          <w:sz w:val="24"/>
          <w:lang w:eastAsia="pl-PL" w:bidi="pl-PL"/>
        </w:rPr>
        <w:t xml:space="preserve">inwesotrów </w:t>
      </w:r>
      <w:r w:rsidR="00A24ECE" w:rsidRPr="004F707B">
        <w:rPr>
          <w:rFonts w:ascii="Times New Roman" w:hAnsi="Times New Roman"/>
          <w:noProof/>
          <w:sz w:val="24"/>
          <w:lang w:eastAsia="pl-PL" w:bidi="pl-PL"/>
        </w:rPr>
        <w:t xml:space="preserve"> w przypadku trudnej sytuacji finansowej lub upadłości instytucji, która zmaga się z </w:t>
      </w:r>
      <w:r w:rsidR="007F6551">
        <w:rPr>
          <w:rFonts w:ascii="Times New Roman" w:hAnsi="Times New Roman"/>
          <w:noProof/>
          <w:sz w:val="24"/>
          <w:lang w:eastAsia="pl-PL" w:bidi="pl-PL"/>
        </w:rPr>
        <w:t xml:space="preserve">problemami </w:t>
      </w:r>
      <w:r w:rsidR="00A24ECE" w:rsidRPr="004F707B">
        <w:rPr>
          <w:rFonts w:ascii="Times New Roman" w:hAnsi="Times New Roman"/>
          <w:noProof/>
          <w:sz w:val="24"/>
          <w:lang w:eastAsia="pl-PL" w:bidi="pl-PL"/>
        </w:rPr>
        <w:t>finansowymi, jeżeli postępowanie upadłościowe byłoby niewystarczające do osiągnięcia</w:t>
      </w:r>
      <w:r w:rsidR="003D6073">
        <w:rPr>
          <w:rFonts w:ascii="Times New Roman" w:hAnsi="Times New Roman"/>
          <w:noProof/>
          <w:sz w:val="24"/>
          <w:lang w:eastAsia="pl-PL" w:bidi="pl-PL"/>
        </w:rPr>
        <w:t xml:space="preserve"> wskazanych </w:t>
      </w:r>
      <w:r w:rsidR="00A24ECE" w:rsidRPr="004F707B">
        <w:rPr>
          <w:rFonts w:ascii="Times New Roman" w:hAnsi="Times New Roman"/>
          <w:noProof/>
          <w:sz w:val="24"/>
          <w:lang w:eastAsia="pl-PL" w:bidi="pl-PL"/>
        </w:rPr>
        <w:t xml:space="preserve">celów. </w:t>
      </w:r>
      <w:r w:rsidR="003D6073">
        <w:rPr>
          <w:rFonts w:ascii="Times New Roman" w:hAnsi="Times New Roman"/>
          <w:noProof/>
          <w:sz w:val="24"/>
          <w:lang w:eastAsia="pl-PL" w:bidi="pl-PL"/>
        </w:rPr>
        <w:t xml:space="preserve">Znaczenie przewidzianych we wniosku środków </w:t>
      </w:r>
      <w:r w:rsidR="00A24ECE" w:rsidRPr="004F707B">
        <w:rPr>
          <w:rFonts w:ascii="Times New Roman" w:hAnsi="Times New Roman"/>
          <w:noProof/>
          <w:sz w:val="24"/>
          <w:lang w:eastAsia="pl-PL" w:bidi="pl-PL"/>
        </w:rPr>
        <w:t>naprawcz</w:t>
      </w:r>
      <w:r w:rsidR="003D6073">
        <w:rPr>
          <w:rFonts w:ascii="Times New Roman" w:hAnsi="Times New Roman"/>
          <w:noProof/>
          <w:sz w:val="24"/>
          <w:lang w:eastAsia="pl-PL" w:bidi="pl-PL"/>
        </w:rPr>
        <w:t>ych,</w:t>
      </w:r>
      <w:r w:rsidR="00A24ECE" w:rsidRPr="004F707B">
        <w:rPr>
          <w:rFonts w:ascii="Times New Roman" w:hAnsi="Times New Roman"/>
          <w:noProof/>
          <w:sz w:val="24"/>
          <w:lang w:eastAsia="pl-PL" w:bidi="pl-PL"/>
        </w:rPr>
        <w:t xml:space="preserve"> restrukturyza</w:t>
      </w:r>
      <w:r w:rsidR="003D6073">
        <w:rPr>
          <w:rFonts w:ascii="Times New Roman" w:hAnsi="Times New Roman"/>
          <w:noProof/>
          <w:sz w:val="24"/>
          <w:lang w:eastAsia="pl-PL" w:bidi="pl-PL"/>
        </w:rPr>
        <w:t>cyjnych</w:t>
      </w:r>
      <w:r w:rsidR="00A24ECE" w:rsidRPr="004F707B">
        <w:rPr>
          <w:rFonts w:ascii="Times New Roman" w:hAnsi="Times New Roman"/>
          <w:noProof/>
          <w:sz w:val="24"/>
          <w:lang w:eastAsia="pl-PL" w:bidi="pl-PL"/>
        </w:rPr>
        <w:t xml:space="preserve"> i uporządkowanej likwidacji instytucj</w:t>
      </w:r>
      <w:r w:rsidR="003D6073">
        <w:rPr>
          <w:rFonts w:ascii="Times New Roman" w:hAnsi="Times New Roman"/>
          <w:noProof/>
          <w:sz w:val="24"/>
          <w:lang w:eastAsia="pl-PL" w:bidi="pl-PL"/>
        </w:rPr>
        <w:t>i</w:t>
      </w:r>
      <w:r w:rsidR="00A24ECE" w:rsidRPr="004F707B">
        <w:rPr>
          <w:rFonts w:ascii="Times New Roman" w:hAnsi="Times New Roman"/>
          <w:noProof/>
          <w:sz w:val="24"/>
          <w:lang w:eastAsia="pl-PL" w:bidi="pl-PL"/>
        </w:rPr>
        <w:t xml:space="preserve"> finansow</w:t>
      </w:r>
      <w:r w:rsidR="003D6073">
        <w:rPr>
          <w:rFonts w:ascii="Times New Roman" w:hAnsi="Times New Roman"/>
          <w:noProof/>
          <w:sz w:val="24"/>
          <w:lang w:eastAsia="pl-PL" w:bidi="pl-PL"/>
        </w:rPr>
        <w:t xml:space="preserve">ej o </w:t>
      </w:r>
      <w:r w:rsidR="00582F02">
        <w:rPr>
          <w:rFonts w:ascii="Times New Roman" w:hAnsi="Times New Roman"/>
          <w:noProof/>
          <w:sz w:val="24"/>
          <w:lang w:eastAsia="pl-PL" w:bidi="pl-PL"/>
        </w:rPr>
        <w:t xml:space="preserve">coraz większym </w:t>
      </w:r>
      <w:r w:rsidR="003D6073">
        <w:rPr>
          <w:rFonts w:ascii="Times New Roman" w:hAnsi="Times New Roman"/>
          <w:noProof/>
          <w:sz w:val="24"/>
          <w:lang w:eastAsia="pl-PL" w:bidi="pl-PL"/>
        </w:rPr>
        <w:t xml:space="preserve">znaczeniu </w:t>
      </w:r>
      <w:r w:rsidR="00A24ECE" w:rsidRPr="004F707B">
        <w:rPr>
          <w:rFonts w:ascii="Times New Roman" w:hAnsi="Times New Roman"/>
          <w:noProof/>
          <w:sz w:val="24"/>
          <w:lang w:eastAsia="pl-PL" w:bidi="pl-PL"/>
        </w:rPr>
        <w:t>„systemow</w:t>
      </w:r>
      <w:r w:rsidR="003D6073">
        <w:rPr>
          <w:rFonts w:ascii="Times New Roman" w:hAnsi="Times New Roman"/>
          <w:noProof/>
          <w:sz w:val="24"/>
          <w:lang w:eastAsia="pl-PL" w:bidi="pl-PL"/>
        </w:rPr>
        <w:t>ym</w:t>
      </w:r>
      <w:r w:rsidR="00A24ECE" w:rsidRPr="004F707B">
        <w:rPr>
          <w:rFonts w:ascii="Times New Roman" w:hAnsi="Times New Roman"/>
          <w:noProof/>
          <w:sz w:val="24"/>
          <w:lang w:eastAsia="pl-PL" w:bidi="pl-PL"/>
        </w:rPr>
        <w:t>”</w:t>
      </w:r>
      <w:r w:rsidR="003D6073">
        <w:rPr>
          <w:rFonts w:ascii="Times New Roman" w:hAnsi="Times New Roman"/>
          <w:noProof/>
          <w:sz w:val="24"/>
          <w:lang w:eastAsia="pl-PL" w:bidi="pl-PL"/>
        </w:rPr>
        <w:t xml:space="preserve"> jakim jest CCP</w:t>
      </w:r>
      <w:r w:rsidR="00A24ECE" w:rsidRPr="004F707B">
        <w:rPr>
          <w:rFonts w:ascii="Times New Roman" w:hAnsi="Times New Roman"/>
          <w:noProof/>
          <w:sz w:val="24"/>
          <w:lang w:eastAsia="pl-PL" w:bidi="pl-PL"/>
        </w:rPr>
        <w:t xml:space="preserve">, </w:t>
      </w:r>
      <w:r w:rsidR="00582F02">
        <w:rPr>
          <w:rFonts w:ascii="Times New Roman" w:hAnsi="Times New Roman"/>
          <w:noProof/>
          <w:sz w:val="24"/>
          <w:lang w:eastAsia="pl-PL" w:bidi="pl-PL"/>
        </w:rPr>
        <w:t xml:space="preserve">jest tym większe, gdyż </w:t>
      </w:r>
      <w:r w:rsidR="00A24ECE" w:rsidRPr="004F707B">
        <w:rPr>
          <w:rFonts w:ascii="Times New Roman" w:hAnsi="Times New Roman"/>
          <w:noProof/>
          <w:sz w:val="24"/>
          <w:lang w:eastAsia="pl-PL" w:bidi="pl-PL"/>
        </w:rPr>
        <w:t xml:space="preserve"> jej trudna sytuacja finansowa lub niekontrolowana upadłość mogłyby zagrozić normalnemu funkcjonowaniu systemu finansowego, co z kolei mogłoby negatywnie wpłynąć na gospodarkę realną.</w:t>
      </w:r>
      <w:r w:rsidR="00582F02" w:rsidRPr="00A53AD8">
        <w:rPr>
          <w:rFonts w:ascii="Times New Roman" w:eastAsia="Times New Roman" w:hAnsi="Times New Roman"/>
          <w:noProof/>
          <w:sz w:val="24"/>
          <w:szCs w:val="24"/>
          <w:lang w:eastAsia="pl-PL" w:bidi="pl-PL"/>
        </w:rPr>
        <w:t>Wynika to z faktu, że niewypłacalność takiej instytucji może gwałtownie ograniczyć świadczenie przez tę instytucję funkcji krytycznych na rzecz gospodarki, wywołując panikę na rynku i efekt domina ze względu na niepewność kontrahentów i inwestorów co do ich aktywów i zobowiązań w przedłużających się postępowaniach sądowych. W obliczu takiego zagrożenia dla stabilności finansowej, wywołanego np. brakiem zaufania na rynku, oraz biorąc pod uwagę ogólny interes publiczny, rządy są często zmuszone ratować instytucje finansowe będące na progu upadłości za pomocą środków publicznych, aby zapobiec wystąpieniu sytuacji opisanej powyżej.</w:t>
      </w:r>
    </w:p>
    <w:p w:rsidR="00CE6E7B" w:rsidRDefault="00CE6E7B" w:rsidP="007F6551">
      <w:pPr>
        <w:tabs>
          <w:tab w:val="num" w:pos="1200"/>
        </w:tabs>
        <w:autoSpaceDE w:val="0"/>
        <w:autoSpaceDN w:val="0"/>
        <w:adjustRightInd w:val="0"/>
        <w:spacing w:before="120" w:after="120"/>
        <w:jc w:val="both"/>
        <w:rPr>
          <w:rFonts w:ascii="Times New Roman" w:eastAsia="Times New Roman" w:hAnsi="Times New Roman"/>
          <w:noProof/>
          <w:sz w:val="24"/>
          <w:szCs w:val="24"/>
          <w:lang w:eastAsia="pl-PL" w:bidi="pl-PL"/>
        </w:rPr>
      </w:pPr>
      <w:r w:rsidRPr="00CE6E7B">
        <w:rPr>
          <w:rFonts w:ascii="Times New Roman" w:eastAsia="Times New Roman" w:hAnsi="Times New Roman"/>
          <w:noProof/>
          <w:sz w:val="24"/>
          <w:szCs w:val="24"/>
          <w:lang w:eastAsia="pl-PL" w:bidi="pl-PL"/>
        </w:rPr>
        <w:t xml:space="preserve">Mimo że CCP są już dobrze uregulowane, posiadają solidne zasoby na mocy </w:t>
      </w:r>
      <w:r w:rsidR="007F6551">
        <w:rPr>
          <w:rFonts w:ascii="Times New Roman" w:eastAsia="Times New Roman" w:hAnsi="Times New Roman"/>
          <w:noProof/>
          <w:sz w:val="24"/>
          <w:szCs w:val="24"/>
          <w:lang w:eastAsia="pl-PL" w:bidi="pl-PL"/>
        </w:rPr>
        <w:t xml:space="preserve">przepisów rozporządzenia </w:t>
      </w:r>
      <w:r w:rsidRPr="00CE6E7B">
        <w:rPr>
          <w:rFonts w:ascii="Times New Roman" w:eastAsia="Times New Roman" w:hAnsi="Times New Roman"/>
          <w:noProof/>
          <w:sz w:val="24"/>
          <w:szCs w:val="24"/>
          <w:lang w:eastAsia="pl-PL" w:bidi="pl-PL"/>
        </w:rPr>
        <w:t>EMIR</w:t>
      </w:r>
      <w:r w:rsidR="007F6551">
        <w:rPr>
          <w:rFonts w:ascii="Times New Roman" w:eastAsia="Times New Roman" w:hAnsi="Times New Roman"/>
          <w:noProof/>
          <w:sz w:val="24"/>
          <w:szCs w:val="24"/>
          <w:lang w:eastAsia="pl-PL" w:bidi="pl-PL"/>
        </w:rPr>
        <w:t xml:space="preserve">, </w:t>
      </w:r>
      <w:r w:rsidRPr="00CE6E7B">
        <w:rPr>
          <w:rFonts w:ascii="Times New Roman" w:eastAsia="Times New Roman" w:hAnsi="Times New Roman"/>
          <w:noProof/>
          <w:sz w:val="24"/>
          <w:szCs w:val="24"/>
          <w:lang w:eastAsia="pl-PL" w:bidi="pl-PL"/>
        </w:rPr>
        <w:t xml:space="preserve"> umożliwiające </w:t>
      </w:r>
      <w:r w:rsidR="007F6551">
        <w:rPr>
          <w:rFonts w:ascii="Times New Roman" w:eastAsia="Times New Roman" w:hAnsi="Times New Roman"/>
          <w:noProof/>
          <w:sz w:val="24"/>
          <w:szCs w:val="24"/>
          <w:lang w:eastAsia="pl-PL" w:bidi="pl-PL"/>
        </w:rPr>
        <w:t xml:space="preserve">CCP </w:t>
      </w:r>
      <w:r w:rsidRPr="00CE6E7B">
        <w:rPr>
          <w:rFonts w:ascii="Times New Roman" w:eastAsia="Times New Roman" w:hAnsi="Times New Roman"/>
          <w:noProof/>
          <w:sz w:val="24"/>
          <w:szCs w:val="24"/>
          <w:lang w:eastAsia="pl-PL" w:bidi="pl-PL"/>
        </w:rPr>
        <w:t>radzenie sobie z trudną sytuacją finansową i nie doświadczyły</w:t>
      </w:r>
      <w:r w:rsidR="007F6551">
        <w:rPr>
          <w:rFonts w:ascii="Times New Roman" w:eastAsia="Times New Roman" w:hAnsi="Times New Roman"/>
          <w:noProof/>
          <w:sz w:val="24"/>
          <w:szCs w:val="24"/>
          <w:lang w:eastAsia="pl-PL" w:bidi="pl-PL"/>
        </w:rPr>
        <w:t xml:space="preserve"> one</w:t>
      </w:r>
      <w:r w:rsidRPr="00CE6E7B">
        <w:rPr>
          <w:rFonts w:ascii="Times New Roman" w:eastAsia="Times New Roman" w:hAnsi="Times New Roman"/>
          <w:noProof/>
          <w:sz w:val="24"/>
          <w:szCs w:val="24"/>
          <w:lang w:eastAsia="pl-PL" w:bidi="pl-PL"/>
        </w:rPr>
        <w:t xml:space="preserve"> w przeszłości żadnych trudności finansowych</w:t>
      </w:r>
      <w:r w:rsidR="007F6551">
        <w:rPr>
          <w:rFonts w:ascii="Times New Roman" w:eastAsia="Times New Roman" w:hAnsi="Times New Roman"/>
          <w:noProof/>
          <w:sz w:val="24"/>
          <w:szCs w:val="24"/>
          <w:lang w:eastAsia="pl-PL" w:bidi="pl-PL"/>
        </w:rPr>
        <w:t>,</w:t>
      </w:r>
      <w:r w:rsidRPr="00CE6E7B">
        <w:rPr>
          <w:rFonts w:ascii="Times New Roman" w:eastAsia="Times New Roman" w:hAnsi="Times New Roman"/>
          <w:noProof/>
          <w:sz w:val="24"/>
          <w:szCs w:val="24"/>
          <w:lang w:eastAsia="pl-PL" w:bidi="pl-PL"/>
        </w:rPr>
        <w:t xml:space="preserve"> ani nie ogłosiły upadłości w dużej liczbie, rządy, organy i inni uczestnicy rynku powszechnie </w:t>
      </w:r>
      <w:r>
        <w:rPr>
          <w:rFonts w:ascii="Times New Roman" w:eastAsia="Times New Roman" w:hAnsi="Times New Roman"/>
          <w:noProof/>
          <w:sz w:val="24"/>
          <w:szCs w:val="24"/>
          <w:lang w:eastAsia="pl-PL" w:bidi="pl-PL"/>
        </w:rPr>
        <w:t xml:space="preserve">dostrzegły </w:t>
      </w:r>
      <w:r w:rsidRPr="00CE6E7B">
        <w:rPr>
          <w:rFonts w:ascii="Times New Roman" w:eastAsia="Times New Roman" w:hAnsi="Times New Roman"/>
          <w:noProof/>
          <w:sz w:val="24"/>
          <w:szCs w:val="24"/>
          <w:lang w:eastAsia="pl-PL" w:bidi="pl-PL"/>
        </w:rPr>
        <w:t>wyzwania stwarzane przez ich rosnące znaczenie dla przetwarzania rosnącej liczby nowych rod</w:t>
      </w:r>
      <w:r>
        <w:rPr>
          <w:rFonts w:ascii="Times New Roman" w:eastAsia="Times New Roman" w:hAnsi="Times New Roman"/>
          <w:noProof/>
          <w:sz w:val="24"/>
          <w:szCs w:val="24"/>
          <w:lang w:eastAsia="pl-PL" w:bidi="pl-PL"/>
        </w:rPr>
        <w:t xml:space="preserve">zajów ryzyka, </w:t>
      </w:r>
      <w:r w:rsidR="007F6551">
        <w:rPr>
          <w:rFonts w:ascii="Times New Roman" w:eastAsia="Times New Roman" w:hAnsi="Times New Roman"/>
          <w:noProof/>
          <w:sz w:val="24"/>
          <w:szCs w:val="24"/>
          <w:lang w:eastAsia="pl-PL" w:bidi="pl-PL"/>
        </w:rPr>
        <w:t xml:space="preserve">adresując je </w:t>
      </w:r>
      <w:r w:rsidR="007F6551">
        <w:rPr>
          <w:rFonts w:ascii="Times New Roman" w:eastAsia="Times New Roman" w:hAnsi="Times New Roman"/>
          <w:noProof/>
          <w:sz w:val="24"/>
          <w:szCs w:val="24"/>
          <w:lang w:eastAsia="pl-PL" w:bidi="pl-PL"/>
        </w:rPr>
        <w:br/>
      </w:r>
      <w:r>
        <w:rPr>
          <w:rFonts w:ascii="Times New Roman" w:eastAsia="Times New Roman" w:hAnsi="Times New Roman"/>
          <w:noProof/>
          <w:sz w:val="24"/>
          <w:szCs w:val="24"/>
          <w:lang w:eastAsia="pl-PL" w:bidi="pl-PL"/>
        </w:rPr>
        <w:t>w przedmiotowym rozporządzeniu.</w:t>
      </w:r>
      <w:r w:rsidRPr="00CE6E7B">
        <w:rPr>
          <w:rFonts w:ascii="Times New Roman" w:eastAsia="Times New Roman" w:hAnsi="Times New Roman"/>
          <w:noProof/>
          <w:sz w:val="24"/>
          <w:szCs w:val="24"/>
          <w:lang w:eastAsia="pl-PL" w:bidi="pl-PL"/>
        </w:rPr>
        <w:t xml:space="preserve"> </w:t>
      </w:r>
    </w:p>
    <w:p w:rsidR="00A53AD8" w:rsidRPr="004C54F3" w:rsidRDefault="00A53AD8" w:rsidP="007F6551">
      <w:pPr>
        <w:tabs>
          <w:tab w:val="num" w:pos="1200"/>
        </w:tabs>
        <w:autoSpaceDE w:val="0"/>
        <w:autoSpaceDN w:val="0"/>
        <w:adjustRightInd w:val="0"/>
        <w:spacing w:before="120" w:after="120"/>
        <w:jc w:val="both"/>
        <w:rPr>
          <w:rFonts w:ascii="Times New Roman" w:eastAsia="Times New Roman" w:hAnsi="Times New Roman"/>
          <w:noProof/>
          <w:sz w:val="24"/>
          <w:szCs w:val="24"/>
          <w:lang w:eastAsia="pl-PL" w:bidi="pl-PL"/>
        </w:rPr>
      </w:pPr>
    </w:p>
    <w:p w:rsidR="004961B5" w:rsidRPr="00C30CC6" w:rsidRDefault="004961B5" w:rsidP="004961B5">
      <w:pPr>
        <w:spacing w:after="0" w:line="240" w:lineRule="auto"/>
      </w:pPr>
    </w:p>
    <w:p w:rsidR="004961B5" w:rsidRPr="00C30CC6" w:rsidRDefault="004961B5" w:rsidP="004961B5">
      <w:pPr>
        <w:pStyle w:val="Nagwek5"/>
        <w:rPr>
          <w:rFonts w:ascii="Calibri" w:hAnsi="Calibri"/>
        </w:rPr>
      </w:pPr>
      <w:r w:rsidRPr="00C30CC6">
        <w:rPr>
          <w:rFonts w:ascii="Calibri" w:hAnsi="Calibri"/>
        </w:rPr>
        <w:t xml:space="preserve">Stanowisko RP </w:t>
      </w:r>
    </w:p>
    <w:p w:rsidR="004961B5" w:rsidRDefault="004961B5" w:rsidP="004961B5">
      <w:pPr>
        <w:spacing w:after="0" w:line="240" w:lineRule="auto"/>
      </w:pPr>
    </w:p>
    <w:p w:rsidR="00234F8D" w:rsidRDefault="00E11F81" w:rsidP="007F6551">
      <w:pPr>
        <w:spacing w:before="120" w:after="120"/>
        <w:jc w:val="both"/>
        <w:rPr>
          <w:rFonts w:ascii="Times New Roman" w:hAnsi="Times New Roman"/>
          <w:sz w:val="24"/>
          <w:szCs w:val="24"/>
        </w:rPr>
      </w:pPr>
      <w:r>
        <w:rPr>
          <w:rFonts w:ascii="Times New Roman" w:hAnsi="Times New Roman"/>
          <w:sz w:val="24"/>
          <w:szCs w:val="24"/>
        </w:rPr>
        <w:t xml:space="preserve">Rząd RP, co do zasady, popiera cel </w:t>
      </w:r>
      <w:r w:rsidR="00582F02">
        <w:rPr>
          <w:rFonts w:ascii="Times New Roman" w:hAnsi="Times New Roman"/>
          <w:sz w:val="24"/>
          <w:szCs w:val="24"/>
        </w:rPr>
        <w:t>zawarty we wniosku Komisji Europejskiej dotyczącym projektu r</w:t>
      </w:r>
      <w:r>
        <w:rPr>
          <w:rFonts w:ascii="Times New Roman" w:hAnsi="Times New Roman"/>
          <w:sz w:val="24"/>
          <w:szCs w:val="24"/>
        </w:rPr>
        <w:t>ozporządzenia Parlamentu Europejskiego i Rady</w:t>
      </w:r>
      <w:r w:rsidR="00FB3056">
        <w:rPr>
          <w:rFonts w:ascii="Times New Roman" w:hAnsi="Times New Roman"/>
          <w:sz w:val="24"/>
          <w:szCs w:val="24"/>
        </w:rPr>
        <w:t xml:space="preserve"> </w:t>
      </w:r>
      <w:r w:rsidR="00FB3056" w:rsidRPr="00FB3056">
        <w:rPr>
          <w:rFonts w:ascii="Times New Roman" w:hAnsi="Times New Roman"/>
          <w:sz w:val="24"/>
          <w:szCs w:val="24"/>
        </w:rPr>
        <w:t xml:space="preserve">w sprawie ram na potrzeby </w:t>
      </w:r>
      <w:r w:rsidR="00FB3056" w:rsidRPr="00FB3056">
        <w:rPr>
          <w:rFonts w:ascii="Times New Roman" w:hAnsi="Times New Roman"/>
          <w:sz w:val="24"/>
          <w:szCs w:val="24"/>
        </w:rPr>
        <w:lastRenderedPageBreak/>
        <w:t>prowadzenia działań naprawczych oraz restrukturyzacji i uporządkowanej likwidacji w odniesieniu do kontrahentów centralnych oraz zmieniające rozporządzenia (UE) nr 1095/2010, (UE) nr 648/2012 i (UE) 2015/2365</w:t>
      </w:r>
      <w:r w:rsidR="00FB3056">
        <w:rPr>
          <w:rFonts w:ascii="Times New Roman" w:hAnsi="Times New Roman"/>
          <w:sz w:val="24"/>
          <w:szCs w:val="24"/>
        </w:rPr>
        <w:t xml:space="preserve">. </w:t>
      </w:r>
    </w:p>
    <w:p w:rsidR="004E6732" w:rsidRDefault="00CE6E7B" w:rsidP="007F6551">
      <w:pPr>
        <w:spacing w:before="120" w:after="120"/>
        <w:jc w:val="both"/>
        <w:rPr>
          <w:noProof/>
          <w:lang w:bidi="pl-PL"/>
        </w:rPr>
      </w:pPr>
      <w:r w:rsidRPr="00896C7E">
        <w:rPr>
          <w:rFonts w:ascii="Times New Roman" w:hAnsi="Times New Roman"/>
          <w:noProof/>
          <w:sz w:val="24"/>
          <w:szCs w:val="24"/>
        </w:rPr>
        <w:t>Z</w:t>
      </w:r>
      <w:r w:rsidR="004E6732" w:rsidRPr="00896C7E">
        <w:rPr>
          <w:rFonts w:ascii="Times New Roman" w:hAnsi="Times New Roman"/>
          <w:noProof/>
          <w:sz w:val="24"/>
          <w:szCs w:val="24"/>
        </w:rPr>
        <w:t>e względu na transgraniczny charakter działalności CCP, która łączy wiele podmiotów finansowych, kontrahentów i klie</w:t>
      </w:r>
      <w:r w:rsidRPr="00896C7E">
        <w:rPr>
          <w:rFonts w:ascii="Times New Roman" w:hAnsi="Times New Roman"/>
          <w:noProof/>
          <w:sz w:val="24"/>
          <w:szCs w:val="24"/>
        </w:rPr>
        <w:t>ntów na całym jednolitym rynku, a także ze względu na ich systemowe znaczenie, w ocenie Rządu RP</w:t>
      </w:r>
      <w:r w:rsidR="00234F8D">
        <w:rPr>
          <w:rFonts w:ascii="Times New Roman" w:hAnsi="Times New Roman"/>
          <w:noProof/>
          <w:sz w:val="24"/>
          <w:szCs w:val="24"/>
        </w:rPr>
        <w:t>,</w:t>
      </w:r>
      <w:r w:rsidRPr="00896C7E">
        <w:rPr>
          <w:rFonts w:ascii="Times New Roman" w:hAnsi="Times New Roman"/>
          <w:noProof/>
          <w:sz w:val="24"/>
          <w:szCs w:val="24"/>
        </w:rPr>
        <w:t xml:space="preserve"> uzasadnione jest wprowadzen</w:t>
      </w:r>
      <w:r w:rsidR="00AF1487" w:rsidRPr="00896C7E">
        <w:rPr>
          <w:rFonts w:ascii="Times New Roman" w:hAnsi="Times New Roman"/>
          <w:noProof/>
          <w:sz w:val="24"/>
          <w:szCs w:val="24"/>
        </w:rPr>
        <w:t xml:space="preserve">ie sharmonizowanych przepisów na szczeblu UE dotyczących narzędzi pozwalających na kontrolowaną restrukturyzację i likwidację tych podmiotów. </w:t>
      </w:r>
      <w:r w:rsidR="00896C7E">
        <w:rPr>
          <w:rFonts w:ascii="Times New Roman" w:hAnsi="Times New Roman"/>
          <w:noProof/>
          <w:sz w:val="24"/>
          <w:szCs w:val="24"/>
        </w:rPr>
        <w:t>N</w:t>
      </w:r>
      <w:r w:rsidR="004E6732" w:rsidRPr="00896C7E">
        <w:rPr>
          <w:rFonts w:ascii="Times New Roman" w:hAnsi="Times New Roman"/>
          <w:noProof/>
          <w:sz w:val="24"/>
          <w:szCs w:val="24"/>
        </w:rPr>
        <w:t xml:space="preserve">arzędzia, jakimi obecnie dysponują organy państw członkowskich, są </w:t>
      </w:r>
      <w:r w:rsidR="00896C7E">
        <w:rPr>
          <w:rFonts w:ascii="Times New Roman" w:hAnsi="Times New Roman"/>
          <w:noProof/>
          <w:sz w:val="24"/>
          <w:szCs w:val="24"/>
        </w:rPr>
        <w:t xml:space="preserve">bowiem </w:t>
      </w:r>
      <w:r w:rsidR="004E6732" w:rsidRPr="00896C7E">
        <w:rPr>
          <w:rFonts w:ascii="Times New Roman" w:hAnsi="Times New Roman"/>
          <w:noProof/>
          <w:sz w:val="24"/>
          <w:szCs w:val="24"/>
        </w:rPr>
        <w:t xml:space="preserve">niewystarczające, aby rozwiązać </w:t>
      </w:r>
      <w:r w:rsidR="00896C7E">
        <w:rPr>
          <w:rFonts w:ascii="Times New Roman" w:hAnsi="Times New Roman"/>
          <w:noProof/>
          <w:sz w:val="24"/>
          <w:szCs w:val="24"/>
        </w:rPr>
        <w:t xml:space="preserve">ewentualne </w:t>
      </w:r>
      <w:r w:rsidR="004E6732" w:rsidRPr="00896C7E">
        <w:rPr>
          <w:rFonts w:ascii="Times New Roman" w:hAnsi="Times New Roman"/>
          <w:noProof/>
          <w:sz w:val="24"/>
          <w:szCs w:val="24"/>
        </w:rPr>
        <w:t xml:space="preserve">problemy CCP zmagających się z poważnymi trudnościami, które mogą zagrozić ich rentowności. </w:t>
      </w:r>
      <w:r w:rsidR="00DA098A" w:rsidRPr="00896C7E">
        <w:rPr>
          <w:rFonts w:ascii="Times New Roman" w:hAnsi="Times New Roman"/>
          <w:noProof/>
          <w:sz w:val="24"/>
          <w:szCs w:val="24"/>
        </w:rPr>
        <w:t>Ponadto Rząd RP dostrzega ryzyko, iż r</w:t>
      </w:r>
      <w:r w:rsidR="004E6732" w:rsidRPr="00896C7E">
        <w:rPr>
          <w:rFonts w:ascii="Times New Roman" w:hAnsi="Times New Roman"/>
          <w:noProof/>
          <w:sz w:val="24"/>
          <w:szCs w:val="24"/>
        </w:rPr>
        <w:t xml:space="preserve">ozbieżne podejścia stosowane w poszczególnych państwach członkowskich w celu złagodzenia lub rozwiązania potencjalnie poważnych problemów CCP mogłyby ostatecznie doprowadzić do zakłócenia funkcji krytycznych gospodarki i do </w:t>
      </w:r>
      <w:r w:rsidR="004E6732" w:rsidRPr="00896C7E">
        <w:rPr>
          <w:rFonts w:ascii="Times New Roman" w:hAnsi="Times New Roman"/>
          <w:noProof/>
          <w:sz w:val="24"/>
          <w:szCs w:val="24"/>
          <w:lang w:bidi="pl-PL"/>
        </w:rPr>
        <w:t>niestabilności finansowej w szerszym wymiarze.</w:t>
      </w:r>
      <w:r w:rsidR="004E6732" w:rsidRPr="004E6732">
        <w:rPr>
          <w:noProof/>
          <w:lang w:bidi="pl-PL"/>
        </w:rPr>
        <w:t xml:space="preserve"> </w:t>
      </w:r>
    </w:p>
    <w:p w:rsidR="00B266E2" w:rsidRDefault="00E26B1A" w:rsidP="00234F8D">
      <w:pPr>
        <w:suppressAutoHyphens/>
        <w:spacing w:before="120" w:after="120"/>
        <w:jc w:val="both"/>
        <w:rPr>
          <w:rFonts w:ascii="Times New Roman" w:eastAsia="Palatino Linotype" w:hAnsi="Times New Roman"/>
          <w:sz w:val="24"/>
          <w:szCs w:val="24"/>
          <w:lang w:eastAsia="pl-PL"/>
        </w:rPr>
      </w:pPr>
      <w:r w:rsidRPr="00E26B1A">
        <w:rPr>
          <w:rFonts w:ascii="Times New Roman" w:hAnsi="Times New Roman"/>
          <w:noProof/>
          <w:sz w:val="24"/>
          <w:szCs w:val="24"/>
          <w:lang w:bidi="pl-PL"/>
        </w:rPr>
        <w:t>Niemniej w odniesieniu d</w:t>
      </w:r>
      <w:r w:rsidR="00B266E2" w:rsidRPr="00E26B1A">
        <w:rPr>
          <w:rFonts w:ascii="Times New Roman" w:hAnsi="Times New Roman"/>
          <w:noProof/>
          <w:sz w:val="24"/>
          <w:szCs w:val="24"/>
          <w:lang w:bidi="pl-PL"/>
        </w:rPr>
        <w:t>o szczegółowych rozwiązań przewidziany</w:t>
      </w:r>
      <w:r>
        <w:rPr>
          <w:rFonts w:ascii="Times New Roman" w:hAnsi="Times New Roman"/>
          <w:noProof/>
          <w:sz w:val="24"/>
          <w:szCs w:val="24"/>
          <w:lang w:bidi="pl-PL"/>
        </w:rPr>
        <w:t>ch</w:t>
      </w:r>
      <w:r w:rsidRPr="00E26B1A">
        <w:rPr>
          <w:rFonts w:ascii="Times New Roman" w:hAnsi="Times New Roman"/>
          <w:noProof/>
          <w:sz w:val="24"/>
          <w:szCs w:val="24"/>
          <w:lang w:bidi="pl-PL"/>
        </w:rPr>
        <w:t xml:space="preserve"> w projektowanej regulacji Rząd RP dostrzega pewne </w:t>
      </w:r>
      <w:r w:rsidR="00582F02">
        <w:rPr>
          <w:rFonts w:ascii="Times New Roman" w:hAnsi="Times New Roman"/>
          <w:noProof/>
          <w:sz w:val="24"/>
          <w:szCs w:val="24"/>
          <w:lang w:bidi="pl-PL"/>
        </w:rPr>
        <w:t>problemy wymagające dlaszych prac na etapie uzgadniania projektu</w:t>
      </w:r>
      <w:r w:rsidRPr="00E26B1A">
        <w:rPr>
          <w:rFonts w:ascii="Times New Roman" w:hAnsi="Times New Roman"/>
          <w:noProof/>
          <w:sz w:val="24"/>
          <w:szCs w:val="24"/>
          <w:lang w:bidi="pl-PL"/>
        </w:rPr>
        <w:t xml:space="preserve">, np. </w:t>
      </w:r>
      <w:r w:rsidR="00B266E2" w:rsidRPr="00E26B1A">
        <w:rPr>
          <w:rFonts w:ascii="Times New Roman" w:eastAsia="Palatino Linotype" w:hAnsi="Times New Roman"/>
          <w:sz w:val="24"/>
          <w:szCs w:val="24"/>
          <w:lang w:eastAsia="pl-PL"/>
        </w:rPr>
        <w:t>brak zarysowania</w:t>
      </w:r>
      <w:r w:rsidRPr="00E26B1A">
        <w:rPr>
          <w:rFonts w:ascii="Times New Roman" w:eastAsia="Palatino Linotype" w:hAnsi="Times New Roman"/>
          <w:sz w:val="24"/>
          <w:szCs w:val="24"/>
          <w:lang w:eastAsia="pl-PL"/>
        </w:rPr>
        <w:t xml:space="preserve"> </w:t>
      </w:r>
      <w:r w:rsidR="00582F02">
        <w:rPr>
          <w:rFonts w:ascii="Times New Roman" w:eastAsia="Palatino Linotype" w:hAnsi="Times New Roman"/>
          <w:sz w:val="24"/>
          <w:szCs w:val="24"/>
          <w:lang w:eastAsia="pl-PL"/>
        </w:rPr>
        <w:t xml:space="preserve">wyraźnych </w:t>
      </w:r>
      <w:r w:rsidR="00B266E2" w:rsidRPr="00E26B1A">
        <w:rPr>
          <w:rFonts w:ascii="Times New Roman" w:eastAsia="Palatino Linotype" w:hAnsi="Times New Roman"/>
          <w:sz w:val="24"/>
          <w:szCs w:val="24"/>
          <w:lang w:eastAsia="pl-PL"/>
        </w:rPr>
        <w:t xml:space="preserve">relacji </w:t>
      </w:r>
      <w:r w:rsidR="00234F8D">
        <w:rPr>
          <w:rFonts w:ascii="Times New Roman" w:eastAsia="Palatino Linotype" w:hAnsi="Times New Roman"/>
          <w:sz w:val="24"/>
          <w:szCs w:val="24"/>
          <w:lang w:eastAsia="pl-PL"/>
        </w:rPr>
        <w:t>po</w:t>
      </w:r>
      <w:r w:rsidR="00B266E2" w:rsidRPr="00E26B1A">
        <w:rPr>
          <w:rFonts w:ascii="Times New Roman" w:eastAsia="Palatino Linotype" w:hAnsi="Times New Roman"/>
          <w:sz w:val="24"/>
          <w:szCs w:val="24"/>
          <w:lang w:eastAsia="pl-PL"/>
        </w:rPr>
        <w:t xml:space="preserve">między zasadami pokrywania strat na etapie </w:t>
      </w:r>
      <w:proofErr w:type="spellStart"/>
      <w:r w:rsidR="00B266E2" w:rsidRPr="00E26B1A">
        <w:rPr>
          <w:rFonts w:ascii="Times New Roman" w:eastAsia="Palatino Linotype" w:hAnsi="Times New Roman"/>
          <w:i/>
          <w:sz w:val="24"/>
          <w:szCs w:val="24"/>
          <w:lang w:eastAsia="pl-PL"/>
        </w:rPr>
        <w:t>recovery</w:t>
      </w:r>
      <w:proofErr w:type="spellEnd"/>
      <w:r w:rsidR="00B266E2" w:rsidRPr="00E26B1A">
        <w:rPr>
          <w:rFonts w:ascii="Times New Roman" w:eastAsia="Palatino Linotype" w:hAnsi="Times New Roman"/>
          <w:sz w:val="24"/>
          <w:szCs w:val="24"/>
          <w:lang w:eastAsia="pl-PL"/>
        </w:rPr>
        <w:t xml:space="preserve"> (w mniejszym stopniu także </w:t>
      </w:r>
      <w:r w:rsidR="00B266E2" w:rsidRPr="00E26B1A">
        <w:rPr>
          <w:rFonts w:ascii="Times New Roman" w:eastAsia="Palatino Linotype" w:hAnsi="Times New Roman"/>
          <w:i/>
          <w:sz w:val="24"/>
          <w:szCs w:val="24"/>
          <w:lang w:eastAsia="pl-PL"/>
        </w:rPr>
        <w:t>resolution</w:t>
      </w:r>
      <w:r w:rsidR="00B266E2" w:rsidRPr="00E26B1A">
        <w:rPr>
          <w:rFonts w:ascii="Times New Roman" w:eastAsia="Palatino Linotype" w:hAnsi="Times New Roman"/>
          <w:sz w:val="24"/>
          <w:szCs w:val="24"/>
          <w:lang w:eastAsia="pl-PL"/>
        </w:rPr>
        <w:t>), a przewidzianym w rozporządzeniu EMIR system</w:t>
      </w:r>
      <w:r w:rsidR="00582F02">
        <w:rPr>
          <w:rFonts w:ascii="Times New Roman" w:eastAsia="Palatino Linotype" w:hAnsi="Times New Roman"/>
          <w:sz w:val="24"/>
          <w:szCs w:val="24"/>
          <w:lang w:eastAsia="pl-PL"/>
        </w:rPr>
        <w:t>ie</w:t>
      </w:r>
      <w:r w:rsidR="00B266E2" w:rsidRPr="00E26B1A">
        <w:rPr>
          <w:rFonts w:ascii="Times New Roman" w:eastAsia="Palatino Linotype" w:hAnsi="Times New Roman"/>
          <w:sz w:val="24"/>
          <w:szCs w:val="24"/>
          <w:lang w:eastAsia="pl-PL"/>
        </w:rPr>
        <w:t xml:space="preserve"> kaskadowego pokrywania strat, w tym przez alokowanie na ten cel części kapitałów własnych CCP. Ponadto</w:t>
      </w:r>
      <w:r w:rsidRPr="00E26B1A">
        <w:rPr>
          <w:rFonts w:ascii="Times New Roman" w:eastAsia="Palatino Linotype" w:hAnsi="Times New Roman"/>
          <w:sz w:val="24"/>
          <w:szCs w:val="24"/>
          <w:lang w:eastAsia="pl-PL"/>
        </w:rPr>
        <w:t>, w ocenie polskiego Rządu</w:t>
      </w:r>
      <w:r w:rsidR="00B266E2" w:rsidRPr="00E26B1A">
        <w:rPr>
          <w:rFonts w:ascii="Times New Roman" w:eastAsia="Palatino Linotype" w:hAnsi="Times New Roman"/>
          <w:sz w:val="24"/>
          <w:szCs w:val="24"/>
          <w:lang w:eastAsia="pl-PL"/>
        </w:rPr>
        <w:t xml:space="preserve"> </w:t>
      </w:r>
      <w:r w:rsidRPr="00E26B1A">
        <w:rPr>
          <w:rFonts w:ascii="Times New Roman" w:eastAsia="Palatino Linotype" w:hAnsi="Times New Roman"/>
          <w:sz w:val="24"/>
          <w:szCs w:val="24"/>
          <w:lang w:eastAsia="pl-PL"/>
        </w:rPr>
        <w:t>p</w:t>
      </w:r>
      <w:r w:rsidR="00B266E2" w:rsidRPr="00E26B1A">
        <w:rPr>
          <w:rFonts w:ascii="Times New Roman" w:eastAsia="Palatino Linotype" w:hAnsi="Times New Roman"/>
          <w:sz w:val="24"/>
          <w:szCs w:val="24"/>
          <w:lang w:eastAsia="pl-PL"/>
        </w:rPr>
        <w:t xml:space="preserve">rzedstawiony projekt w niewystarczającym stopniu uwzględnia potencjalne efekty zarażania, które mogą nastąpić w wyniku zastosowania niektórych narzędzi </w:t>
      </w:r>
      <w:r w:rsidR="00B266E2" w:rsidRPr="00E26B1A">
        <w:rPr>
          <w:rFonts w:ascii="Times New Roman" w:eastAsia="Palatino Linotype" w:hAnsi="Times New Roman"/>
          <w:i/>
          <w:sz w:val="24"/>
          <w:szCs w:val="24"/>
          <w:lang w:eastAsia="pl-PL"/>
        </w:rPr>
        <w:t>resolution.</w:t>
      </w:r>
      <w:r w:rsidR="00B266E2" w:rsidRPr="00E26B1A">
        <w:rPr>
          <w:rFonts w:ascii="Times New Roman" w:eastAsia="Palatino Linotype" w:hAnsi="Times New Roman"/>
          <w:sz w:val="24"/>
          <w:szCs w:val="24"/>
          <w:lang w:eastAsia="pl-PL"/>
        </w:rPr>
        <w:t xml:space="preserve"> Zaproponowane generalne zasady bez określania konkretnych mechanizmów działania mogą być </w:t>
      </w:r>
      <w:r>
        <w:rPr>
          <w:rFonts w:ascii="Times New Roman" w:eastAsia="Palatino Linotype" w:hAnsi="Times New Roman"/>
          <w:sz w:val="24"/>
          <w:szCs w:val="24"/>
          <w:lang w:eastAsia="pl-PL"/>
        </w:rPr>
        <w:t xml:space="preserve">bowiem </w:t>
      </w:r>
      <w:r w:rsidR="00B266E2" w:rsidRPr="00E26B1A">
        <w:rPr>
          <w:rFonts w:ascii="Times New Roman" w:eastAsia="Palatino Linotype" w:hAnsi="Times New Roman"/>
          <w:sz w:val="24"/>
          <w:szCs w:val="24"/>
          <w:lang w:eastAsia="pl-PL"/>
        </w:rPr>
        <w:t xml:space="preserve">niewystarczające, aby przy podejmowaniu decyzji dotyczących </w:t>
      </w:r>
      <w:r w:rsidR="00B266E2" w:rsidRPr="00E26B1A">
        <w:rPr>
          <w:rFonts w:ascii="Times New Roman" w:eastAsia="Palatino Linotype" w:hAnsi="Times New Roman"/>
          <w:i/>
          <w:sz w:val="24"/>
          <w:szCs w:val="24"/>
          <w:lang w:eastAsia="pl-PL"/>
        </w:rPr>
        <w:t xml:space="preserve">resolution </w:t>
      </w:r>
      <w:r w:rsidR="00B266E2" w:rsidRPr="00E26B1A">
        <w:rPr>
          <w:rFonts w:ascii="Times New Roman" w:eastAsia="Palatino Linotype" w:hAnsi="Times New Roman"/>
          <w:sz w:val="24"/>
          <w:szCs w:val="24"/>
          <w:lang w:eastAsia="pl-PL"/>
        </w:rPr>
        <w:t xml:space="preserve">istotną uwagę przywiązywano do zdolności (zarówno wypłacalności, jaki i dostępu do odpowiedniej płynności) członków rozliczających i ich klientów z różnych jurysdykcji do pokrywania strat. </w:t>
      </w:r>
    </w:p>
    <w:p w:rsidR="00234F8D" w:rsidRPr="00234F8D" w:rsidRDefault="00234F8D" w:rsidP="00234F8D">
      <w:pPr>
        <w:suppressAutoHyphens/>
        <w:spacing w:before="120" w:after="120"/>
        <w:jc w:val="both"/>
        <w:rPr>
          <w:rFonts w:ascii="Times New Roman" w:eastAsia="Palatino Linotype" w:hAnsi="Times New Roman"/>
          <w:sz w:val="24"/>
          <w:szCs w:val="24"/>
          <w:lang w:eastAsia="pl-PL"/>
        </w:rPr>
      </w:pPr>
    </w:p>
    <w:p w:rsidR="002634FA" w:rsidRDefault="00E42C25" w:rsidP="007F6551">
      <w:pPr>
        <w:spacing w:after="0"/>
        <w:jc w:val="both"/>
        <w:rPr>
          <w:rFonts w:ascii="Times New Roman" w:hAnsi="Times New Roman"/>
          <w:b/>
          <w:sz w:val="24"/>
          <w:szCs w:val="24"/>
          <w:u w:val="single"/>
          <w:lang w:bidi="pl-PL"/>
        </w:rPr>
      </w:pPr>
      <w:r>
        <w:rPr>
          <w:rFonts w:ascii="Times New Roman" w:hAnsi="Times New Roman"/>
          <w:b/>
          <w:sz w:val="24"/>
          <w:szCs w:val="24"/>
          <w:u w:val="single"/>
          <w:lang w:bidi="pl-PL"/>
        </w:rPr>
        <w:t>Poza wyżej wymienionymi wątpliwościami, p</w:t>
      </w:r>
      <w:r w:rsidR="002634FA" w:rsidRPr="00593CDD">
        <w:rPr>
          <w:rFonts w:ascii="Times New Roman" w:hAnsi="Times New Roman"/>
          <w:b/>
          <w:sz w:val="24"/>
          <w:szCs w:val="24"/>
          <w:u w:val="single"/>
          <w:lang w:bidi="pl-PL"/>
        </w:rPr>
        <w:t>odczas negocjacji przedmiotowego projektu w Radzie UE</w:t>
      </w:r>
      <w:r>
        <w:rPr>
          <w:rFonts w:ascii="Times New Roman" w:hAnsi="Times New Roman"/>
          <w:b/>
          <w:sz w:val="24"/>
          <w:szCs w:val="24"/>
          <w:u w:val="single"/>
          <w:lang w:bidi="pl-PL"/>
        </w:rPr>
        <w:t>,</w:t>
      </w:r>
      <w:r w:rsidR="002634FA" w:rsidRPr="00593CDD">
        <w:rPr>
          <w:rFonts w:ascii="Times New Roman" w:hAnsi="Times New Roman"/>
          <w:b/>
          <w:sz w:val="24"/>
          <w:szCs w:val="24"/>
          <w:u w:val="single"/>
          <w:lang w:bidi="pl-PL"/>
        </w:rPr>
        <w:t xml:space="preserve"> szczególnej uwagi Rządu RP będą wymagały następujące kwestie:</w:t>
      </w:r>
    </w:p>
    <w:p w:rsidR="006320E4" w:rsidRPr="00593CDD" w:rsidRDefault="006320E4" w:rsidP="007F6551">
      <w:pPr>
        <w:spacing w:after="0"/>
        <w:jc w:val="both"/>
        <w:rPr>
          <w:rFonts w:ascii="Times New Roman" w:hAnsi="Times New Roman"/>
          <w:b/>
          <w:sz w:val="24"/>
          <w:szCs w:val="24"/>
          <w:u w:val="single"/>
          <w:lang w:bidi="pl-PL"/>
        </w:rPr>
      </w:pPr>
    </w:p>
    <w:p w:rsidR="002331B1" w:rsidRPr="00E42C25" w:rsidRDefault="00DA098A" w:rsidP="00F75BF4">
      <w:pPr>
        <w:pStyle w:val="Akapitzlist"/>
        <w:numPr>
          <w:ilvl w:val="0"/>
          <w:numId w:val="3"/>
        </w:numPr>
        <w:spacing w:after="0"/>
        <w:ind w:left="426" w:hanging="437"/>
        <w:jc w:val="both"/>
        <w:rPr>
          <w:rFonts w:ascii="Times New Roman" w:hAnsi="Times New Roman"/>
          <w:sz w:val="24"/>
          <w:szCs w:val="24"/>
          <w:lang w:bidi="pl-PL"/>
        </w:rPr>
      </w:pPr>
      <w:r w:rsidRPr="00E42C25">
        <w:rPr>
          <w:rFonts w:ascii="Times New Roman" w:hAnsi="Times New Roman"/>
          <w:sz w:val="24"/>
          <w:szCs w:val="24"/>
          <w:lang w:bidi="pl-PL"/>
        </w:rPr>
        <w:t>Skład Kolegiów CCP</w:t>
      </w:r>
      <w:r w:rsidR="00E42C25" w:rsidRPr="00E42C25">
        <w:rPr>
          <w:rFonts w:ascii="Times New Roman" w:hAnsi="Times New Roman"/>
          <w:sz w:val="24"/>
          <w:szCs w:val="24"/>
          <w:lang w:bidi="pl-PL"/>
        </w:rPr>
        <w:t>;</w:t>
      </w:r>
    </w:p>
    <w:p w:rsidR="00593CDD" w:rsidRPr="00E42C25" w:rsidRDefault="00593CDD" w:rsidP="00F75BF4">
      <w:pPr>
        <w:pStyle w:val="Akapitzlist"/>
        <w:numPr>
          <w:ilvl w:val="0"/>
          <w:numId w:val="3"/>
        </w:numPr>
        <w:spacing w:after="0"/>
        <w:ind w:left="426" w:hanging="437"/>
        <w:jc w:val="both"/>
        <w:rPr>
          <w:rFonts w:ascii="Times New Roman" w:hAnsi="Times New Roman"/>
          <w:sz w:val="24"/>
          <w:szCs w:val="24"/>
          <w:lang w:bidi="pl-PL"/>
        </w:rPr>
      </w:pPr>
      <w:r w:rsidRPr="00E42C25">
        <w:rPr>
          <w:rFonts w:ascii="Times New Roman" w:hAnsi="Times New Roman"/>
          <w:sz w:val="24"/>
          <w:szCs w:val="24"/>
          <w:lang w:bidi="pl-PL"/>
        </w:rPr>
        <w:t xml:space="preserve">Katalog </w:t>
      </w:r>
      <w:r w:rsidR="006320E4" w:rsidRPr="00E42C25">
        <w:rPr>
          <w:rFonts w:ascii="Times New Roman" w:hAnsi="Times New Roman"/>
          <w:sz w:val="24"/>
          <w:szCs w:val="24"/>
          <w:lang w:bidi="pl-PL"/>
        </w:rPr>
        <w:t xml:space="preserve">sytuacji inicjujących rozpoczęcie procesu </w:t>
      </w:r>
      <w:r w:rsidR="006320E4" w:rsidRPr="00E42C25">
        <w:rPr>
          <w:rFonts w:ascii="Times New Roman" w:hAnsi="Times New Roman"/>
          <w:i/>
          <w:sz w:val="24"/>
          <w:szCs w:val="24"/>
          <w:lang w:bidi="pl-PL"/>
        </w:rPr>
        <w:t>resolution</w:t>
      </w:r>
      <w:r w:rsidR="00E42C25" w:rsidRPr="00E42C25">
        <w:rPr>
          <w:rFonts w:ascii="Times New Roman" w:hAnsi="Times New Roman"/>
          <w:i/>
          <w:sz w:val="24"/>
          <w:szCs w:val="24"/>
          <w:lang w:bidi="pl-PL"/>
        </w:rPr>
        <w:t>;</w:t>
      </w:r>
    </w:p>
    <w:p w:rsidR="006320E4" w:rsidRPr="00E42C25" w:rsidRDefault="00DF5450" w:rsidP="00F75BF4">
      <w:pPr>
        <w:pStyle w:val="Akapitzlist"/>
        <w:numPr>
          <w:ilvl w:val="0"/>
          <w:numId w:val="3"/>
        </w:numPr>
        <w:spacing w:after="0"/>
        <w:ind w:left="426" w:hanging="437"/>
        <w:jc w:val="both"/>
        <w:rPr>
          <w:rFonts w:ascii="Times New Roman" w:hAnsi="Times New Roman"/>
          <w:sz w:val="24"/>
          <w:szCs w:val="24"/>
          <w:lang w:bidi="pl-PL"/>
        </w:rPr>
      </w:pPr>
      <w:r w:rsidRPr="000D1E94">
        <w:rPr>
          <w:rFonts w:ascii="Times New Roman" w:hAnsi="Times New Roman"/>
          <w:sz w:val="24"/>
          <w:szCs w:val="24"/>
          <w:lang w:bidi="pl-PL"/>
        </w:rPr>
        <w:t xml:space="preserve">Narzędzia </w:t>
      </w:r>
      <w:r w:rsidRPr="000D1E94">
        <w:rPr>
          <w:rFonts w:ascii="Times New Roman" w:hAnsi="Times New Roman"/>
          <w:i/>
          <w:sz w:val="24"/>
          <w:szCs w:val="24"/>
          <w:lang w:bidi="pl-PL"/>
        </w:rPr>
        <w:t>resolution</w:t>
      </w:r>
      <w:r w:rsidR="00234F8D" w:rsidRPr="000D1E94">
        <w:rPr>
          <w:rFonts w:ascii="Times New Roman" w:hAnsi="Times New Roman"/>
          <w:sz w:val="24"/>
          <w:szCs w:val="24"/>
          <w:lang w:bidi="pl-PL"/>
        </w:rPr>
        <w:t xml:space="preserve">, tj. </w:t>
      </w:r>
      <w:r w:rsidRPr="003F0435">
        <w:rPr>
          <w:rFonts w:ascii="Times New Roman" w:hAnsi="Times New Roman"/>
          <w:sz w:val="24"/>
          <w:szCs w:val="24"/>
          <w:lang w:bidi="pl-PL"/>
        </w:rPr>
        <w:t>katalog działań naprawczych oraz restrukturyzacji i uporządkowanej likwidacji CCP</w:t>
      </w:r>
      <w:r w:rsidR="00E42C25" w:rsidRPr="00E42C25">
        <w:rPr>
          <w:rFonts w:ascii="Times New Roman" w:hAnsi="Times New Roman"/>
          <w:sz w:val="24"/>
          <w:szCs w:val="24"/>
          <w:lang w:bidi="pl-PL"/>
        </w:rPr>
        <w:t>;</w:t>
      </w:r>
    </w:p>
    <w:p w:rsidR="00DF5450" w:rsidRPr="00E42C25" w:rsidRDefault="00564056" w:rsidP="00F75BF4">
      <w:pPr>
        <w:pStyle w:val="Akapitzlist"/>
        <w:numPr>
          <w:ilvl w:val="0"/>
          <w:numId w:val="3"/>
        </w:numPr>
        <w:spacing w:after="0"/>
        <w:ind w:left="426" w:hanging="437"/>
        <w:jc w:val="both"/>
        <w:rPr>
          <w:rFonts w:ascii="Times New Roman" w:hAnsi="Times New Roman"/>
          <w:sz w:val="24"/>
          <w:szCs w:val="24"/>
          <w:lang w:bidi="pl-PL"/>
        </w:rPr>
      </w:pPr>
      <w:r w:rsidRPr="003F0435">
        <w:rPr>
          <w:rFonts w:ascii="Times New Roman" w:hAnsi="Times New Roman"/>
          <w:sz w:val="24"/>
          <w:szCs w:val="24"/>
          <w:lang w:bidi="pl-PL"/>
        </w:rPr>
        <w:t xml:space="preserve">Kompetencje organu </w:t>
      </w:r>
      <w:r w:rsidRPr="00E42C25">
        <w:rPr>
          <w:rFonts w:ascii="Times New Roman" w:hAnsi="Times New Roman"/>
          <w:i/>
          <w:sz w:val="24"/>
          <w:szCs w:val="24"/>
          <w:lang w:bidi="pl-PL"/>
        </w:rPr>
        <w:t>resolution</w:t>
      </w:r>
      <w:r w:rsidR="00234F8D" w:rsidRPr="00E42C25">
        <w:rPr>
          <w:rFonts w:ascii="Times New Roman" w:hAnsi="Times New Roman"/>
          <w:sz w:val="24"/>
          <w:szCs w:val="24"/>
          <w:lang w:bidi="pl-PL"/>
        </w:rPr>
        <w:t xml:space="preserve"> oraz</w:t>
      </w:r>
      <w:r w:rsidRPr="00E42C25">
        <w:rPr>
          <w:rFonts w:ascii="Times New Roman" w:hAnsi="Times New Roman"/>
          <w:sz w:val="24"/>
          <w:szCs w:val="24"/>
          <w:lang w:bidi="pl-PL"/>
        </w:rPr>
        <w:t xml:space="preserve"> organ właściwego (</w:t>
      </w:r>
      <w:proofErr w:type="spellStart"/>
      <w:r w:rsidRPr="00E42C25">
        <w:rPr>
          <w:rFonts w:ascii="Times New Roman" w:hAnsi="Times New Roman"/>
          <w:i/>
          <w:sz w:val="24"/>
          <w:szCs w:val="24"/>
          <w:lang w:bidi="pl-PL"/>
        </w:rPr>
        <w:t>competent</w:t>
      </w:r>
      <w:proofErr w:type="spellEnd"/>
      <w:r w:rsidRPr="00E42C25">
        <w:rPr>
          <w:rFonts w:ascii="Times New Roman" w:hAnsi="Times New Roman"/>
          <w:i/>
          <w:sz w:val="24"/>
          <w:szCs w:val="24"/>
          <w:lang w:bidi="pl-PL"/>
        </w:rPr>
        <w:t xml:space="preserve"> authority</w:t>
      </w:r>
      <w:r w:rsidRPr="00E42C25">
        <w:rPr>
          <w:rFonts w:ascii="Times New Roman" w:hAnsi="Times New Roman"/>
          <w:sz w:val="24"/>
          <w:szCs w:val="24"/>
          <w:lang w:bidi="pl-PL"/>
        </w:rPr>
        <w:t>)</w:t>
      </w:r>
      <w:r w:rsidR="00E42C25" w:rsidRPr="00E42C25">
        <w:rPr>
          <w:rFonts w:ascii="Times New Roman" w:hAnsi="Times New Roman"/>
          <w:sz w:val="24"/>
          <w:szCs w:val="24"/>
          <w:lang w:bidi="pl-PL"/>
        </w:rPr>
        <w:t>.</w:t>
      </w:r>
    </w:p>
    <w:p w:rsidR="002634FA" w:rsidRPr="002634FA" w:rsidRDefault="002634FA" w:rsidP="002634FA">
      <w:pPr>
        <w:spacing w:after="0"/>
        <w:jc w:val="both"/>
        <w:rPr>
          <w:rFonts w:ascii="Times New Roman" w:hAnsi="Times New Roman"/>
          <w:sz w:val="24"/>
          <w:szCs w:val="24"/>
          <w:lang w:bidi="pl-PL"/>
        </w:rPr>
      </w:pPr>
    </w:p>
    <w:p w:rsidR="002634FA" w:rsidRDefault="002634FA" w:rsidP="00E11F81">
      <w:pPr>
        <w:spacing w:after="0" w:line="240" w:lineRule="auto"/>
        <w:jc w:val="both"/>
      </w:pPr>
    </w:p>
    <w:p w:rsidR="004961B5" w:rsidRPr="00C30CC6" w:rsidRDefault="004961B5" w:rsidP="004961B5">
      <w:pPr>
        <w:spacing w:after="0" w:line="240" w:lineRule="auto"/>
      </w:pPr>
    </w:p>
    <w:p w:rsidR="004961B5" w:rsidRPr="00C30CC6" w:rsidRDefault="004961B5" w:rsidP="004961B5">
      <w:pPr>
        <w:pStyle w:val="Nagwek5"/>
        <w:rPr>
          <w:rFonts w:ascii="Calibri" w:hAnsi="Calibri"/>
        </w:rPr>
      </w:pPr>
      <w:r w:rsidRPr="00C30CC6">
        <w:rPr>
          <w:rFonts w:ascii="Calibri" w:hAnsi="Calibri"/>
        </w:rPr>
        <w:lastRenderedPageBreak/>
        <w:t>Uzasadnienie stanowiska RP</w:t>
      </w:r>
    </w:p>
    <w:p w:rsidR="004961B5" w:rsidRPr="00C30CC6" w:rsidRDefault="004961B5" w:rsidP="004961B5">
      <w:pPr>
        <w:spacing w:after="0" w:line="240" w:lineRule="auto"/>
      </w:pPr>
    </w:p>
    <w:p w:rsidR="00AC4AF9" w:rsidRPr="00AC4AF9" w:rsidRDefault="00AC4AF9" w:rsidP="00234F8D">
      <w:pPr>
        <w:pStyle w:val="Tekstpodstawowy"/>
        <w:spacing w:before="120"/>
        <w:jc w:val="both"/>
        <w:rPr>
          <w:rFonts w:ascii="Times New Roman" w:hAnsi="Times New Roman"/>
          <w:sz w:val="24"/>
          <w:szCs w:val="24"/>
          <w:lang w:bidi="pl-PL"/>
        </w:rPr>
      </w:pPr>
      <w:r w:rsidRPr="00AC4AF9">
        <w:rPr>
          <w:rFonts w:ascii="Times New Roman" w:hAnsi="Times New Roman"/>
          <w:sz w:val="24"/>
          <w:szCs w:val="24"/>
          <w:lang w:bidi="pl-PL"/>
        </w:rPr>
        <w:t xml:space="preserve">Pomimo swojej </w:t>
      </w:r>
      <w:r w:rsidR="00234F8D">
        <w:rPr>
          <w:rFonts w:ascii="Times New Roman" w:hAnsi="Times New Roman"/>
          <w:sz w:val="24"/>
          <w:szCs w:val="24"/>
          <w:lang w:bidi="pl-PL"/>
        </w:rPr>
        <w:t xml:space="preserve">ogólnie </w:t>
      </w:r>
      <w:r w:rsidRPr="00AC4AF9">
        <w:rPr>
          <w:rFonts w:ascii="Times New Roman" w:hAnsi="Times New Roman"/>
          <w:sz w:val="24"/>
          <w:szCs w:val="24"/>
          <w:lang w:bidi="pl-PL"/>
        </w:rPr>
        <w:t>pozytywnej oceny</w:t>
      </w:r>
      <w:r w:rsidR="00234F8D">
        <w:rPr>
          <w:rFonts w:ascii="Times New Roman" w:hAnsi="Times New Roman"/>
          <w:sz w:val="24"/>
          <w:szCs w:val="24"/>
          <w:lang w:bidi="pl-PL"/>
        </w:rPr>
        <w:t xml:space="preserve"> projektowanej regulacji</w:t>
      </w:r>
      <w:r w:rsidRPr="00AC4AF9">
        <w:rPr>
          <w:rFonts w:ascii="Times New Roman" w:hAnsi="Times New Roman"/>
          <w:sz w:val="24"/>
          <w:szCs w:val="24"/>
          <w:lang w:bidi="pl-PL"/>
        </w:rPr>
        <w:t xml:space="preserve">, </w:t>
      </w:r>
      <w:proofErr w:type="spellStart"/>
      <w:r w:rsidRPr="00AC4AF9">
        <w:rPr>
          <w:rFonts w:ascii="Times New Roman" w:hAnsi="Times New Roman"/>
          <w:sz w:val="24"/>
          <w:szCs w:val="24"/>
          <w:lang w:bidi="pl-PL"/>
        </w:rPr>
        <w:t>Rzad</w:t>
      </w:r>
      <w:proofErr w:type="spellEnd"/>
      <w:r w:rsidRPr="00AC4AF9">
        <w:rPr>
          <w:rFonts w:ascii="Times New Roman" w:hAnsi="Times New Roman"/>
          <w:sz w:val="24"/>
          <w:szCs w:val="24"/>
          <w:lang w:bidi="pl-PL"/>
        </w:rPr>
        <w:t xml:space="preserve"> RP, mając na względzie przede wszystkim zapewnienie sprawnego funkcjonowania podmiotów</w:t>
      </w:r>
      <w:r w:rsidR="00E42C25">
        <w:rPr>
          <w:rFonts w:ascii="Times New Roman" w:hAnsi="Times New Roman"/>
          <w:sz w:val="24"/>
          <w:szCs w:val="24"/>
          <w:lang w:bidi="pl-PL"/>
        </w:rPr>
        <w:t xml:space="preserve"> na ryku krajowym</w:t>
      </w:r>
      <w:r w:rsidRPr="00AC4AF9">
        <w:rPr>
          <w:rFonts w:ascii="Times New Roman" w:hAnsi="Times New Roman"/>
          <w:sz w:val="24"/>
          <w:szCs w:val="24"/>
          <w:lang w:bidi="pl-PL"/>
        </w:rPr>
        <w:t>, stoi na stanowisku, iż ocena proponowanych przez KE poszczególnych rozwiązań dotyczących działań naprawczych oraz restrukturyzacji i uporządkowanej likwidacji CCP powinna być dokonywana przez stronę polską przede wszystkim przy uwzględnieniu uwarunkowań korzystania przez podmioty krajowe z usług rozliczeniowych CCP. Należy bowiem wskazać, że banki krajowe</w:t>
      </w:r>
      <w:r w:rsidR="00234F8D">
        <w:rPr>
          <w:rFonts w:ascii="Times New Roman" w:hAnsi="Times New Roman"/>
          <w:sz w:val="24"/>
          <w:szCs w:val="24"/>
          <w:lang w:bidi="pl-PL"/>
        </w:rPr>
        <w:t xml:space="preserve"> w Polsce</w:t>
      </w:r>
      <w:r w:rsidRPr="00AC4AF9">
        <w:rPr>
          <w:rFonts w:ascii="Times New Roman" w:hAnsi="Times New Roman"/>
          <w:sz w:val="24"/>
          <w:szCs w:val="24"/>
          <w:lang w:bidi="pl-PL"/>
        </w:rPr>
        <w:t xml:space="preserve"> z dużym prawdopodobieństwem będą </w:t>
      </w:r>
      <w:r w:rsidR="00234F8D">
        <w:rPr>
          <w:rFonts w:ascii="Times New Roman" w:hAnsi="Times New Roman"/>
          <w:sz w:val="24"/>
          <w:szCs w:val="24"/>
          <w:lang w:bidi="pl-PL"/>
        </w:rPr>
        <w:br/>
      </w:r>
      <w:r w:rsidRPr="00AC4AF9">
        <w:rPr>
          <w:rFonts w:ascii="Times New Roman" w:hAnsi="Times New Roman"/>
          <w:sz w:val="24"/>
          <w:szCs w:val="24"/>
          <w:lang w:bidi="pl-PL"/>
        </w:rPr>
        <w:t xml:space="preserve">w rozliczeniach wykorzystywały nie tylko krajowe CCP, ale także będą rozliczały transakcje instrumentami finansowymi </w:t>
      </w:r>
      <w:r w:rsidR="000D1E94">
        <w:rPr>
          <w:rFonts w:ascii="Times New Roman" w:hAnsi="Times New Roman"/>
          <w:sz w:val="24"/>
          <w:szCs w:val="24"/>
          <w:lang w:bidi="pl-PL"/>
        </w:rPr>
        <w:t xml:space="preserve">za pośrednictwem </w:t>
      </w:r>
      <w:r w:rsidRPr="00AC4AF9">
        <w:rPr>
          <w:rFonts w:ascii="Times New Roman" w:hAnsi="Times New Roman"/>
          <w:sz w:val="24"/>
          <w:szCs w:val="24"/>
          <w:lang w:bidi="pl-PL"/>
        </w:rPr>
        <w:t xml:space="preserve">europejskich CCP (głównie zlokalizowanych w Londynie), występując w nich najczęściej w charakterze uczestnika pośredniego albo nawet klienta takiego uczestnika. Ponadto nieliczne duże banki krajowe, mogą być bezpośrednimi uczestnikami zagranicznych CCP. </w:t>
      </w:r>
      <w:r w:rsidR="000D1E94">
        <w:rPr>
          <w:rFonts w:ascii="Times New Roman" w:hAnsi="Times New Roman"/>
          <w:sz w:val="24"/>
          <w:szCs w:val="24"/>
          <w:lang w:bidi="pl-PL"/>
        </w:rPr>
        <w:t xml:space="preserve">Z kolei </w:t>
      </w:r>
      <w:r w:rsidRPr="00AC4AF9">
        <w:rPr>
          <w:rFonts w:ascii="Times New Roman" w:hAnsi="Times New Roman"/>
          <w:sz w:val="24"/>
          <w:szCs w:val="24"/>
          <w:lang w:bidi="pl-PL"/>
        </w:rPr>
        <w:t xml:space="preserve">uczestnictwo zagranicznych instytucji finansowych w </w:t>
      </w:r>
      <w:r w:rsidR="00234F8D">
        <w:rPr>
          <w:rFonts w:ascii="Times New Roman" w:hAnsi="Times New Roman"/>
          <w:sz w:val="24"/>
          <w:szCs w:val="24"/>
          <w:lang w:bidi="pl-PL"/>
        </w:rPr>
        <w:t xml:space="preserve">obecnie jedynym polskim CCP (tj. </w:t>
      </w:r>
      <w:r w:rsidRPr="00AC4AF9">
        <w:rPr>
          <w:rFonts w:ascii="Times New Roman" w:hAnsi="Times New Roman"/>
          <w:sz w:val="24"/>
          <w:szCs w:val="24"/>
          <w:lang w:bidi="pl-PL"/>
        </w:rPr>
        <w:t>KDPW_CCP</w:t>
      </w:r>
      <w:r w:rsidR="00234F8D">
        <w:rPr>
          <w:rFonts w:ascii="Times New Roman" w:hAnsi="Times New Roman"/>
          <w:sz w:val="24"/>
          <w:szCs w:val="24"/>
          <w:lang w:bidi="pl-PL"/>
        </w:rPr>
        <w:t>)</w:t>
      </w:r>
      <w:r w:rsidRPr="00AC4AF9">
        <w:rPr>
          <w:rFonts w:ascii="Times New Roman" w:hAnsi="Times New Roman"/>
          <w:sz w:val="24"/>
          <w:szCs w:val="24"/>
          <w:lang w:bidi="pl-PL"/>
        </w:rPr>
        <w:t xml:space="preserve"> będzie raczej o</w:t>
      </w:r>
      <w:r w:rsidR="00234F8D">
        <w:rPr>
          <w:rFonts w:ascii="Times New Roman" w:hAnsi="Times New Roman"/>
          <w:sz w:val="24"/>
          <w:szCs w:val="24"/>
          <w:lang w:bidi="pl-PL"/>
        </w:rPr>
        <w:t xml:space="preserve">graniczone. Proponowane obecnie we wniosku </w:t>
      </w:r>
      <w:r w:rsidRPr="00AC4AF9">
        <w:rPr>
          <w:rFonts w:ascii="Times New Roman" w:hAnsi="Times New Roman"/>
          <w:sz w:val="24"/>
          <w:szCs w:val="24"/>
          <w:lang w:bidi="pl-PL"/>
        </w:rPr>
        <w:t xml:space="preserve">KE rozwiązania oznaczałyby, że ewentualne straty zagranicznych CCP byłyby ponoszone także przez polskie podmioty, które korzystając z usług rozliczeniowych w typie uczestnika pośredniego lub klienta tego uczestnika nie posiadałyby pełnych informacji na temat zarządzania ryzykiem w tych izbach, nie wspominając o jakimkolwiek wpływie wspomnianych podmiotów lub polskich organów nadzoru na stosowane przez te izby modele i parametry ryzyka. </w:t>
      </w:r>
    </w:p>
    <w:p w:rsidR="00AC4AF9" w:rsidRPr="00AC4AF9" w:rsidRDefault="00AC4AF9" w:rsidP="00234F8D">
      <w:pPr>
        <w:pStyle w:val="Tekstpodstawowy"/>
        <w:spacing w:before="120"/>
        <w:jc w:val="both"/>
        <w:rPr>
          <w:rFonts w:ascii="Times New Roman" w:hAnsi="Times New Roman"/>
          <w:sz w:val="24"/>
          <w:szCs w:val="24"/>
          <w:lang w:bidi="pl-PL"/>
        </w:rPr>
      </w:pPr>
      <w:r w:rsidRPr="00AC4AF9">
        <w:rPr>
          <w:rFonts w:ascii="Times New Roman" w:hAnsi="Times New Roman"/>
          <w:sz w:val="24"/>
          <w:szCs w:val="24"/>
          <w:lang w:bidi="pl-PL"/>
        </w:rPr>
        <w:t>Ponadto w ocenie Rządu RP istotnym jest, aby ostateczne brzmienie przepisów projektowanej regulacji zapewniło</w:t>
      </w:r>
      <w:r w:rsidR="00234F8D">
        <w:rPr>
          <w:rFonts w:ascii="Times New Roman" w:hAnsi="Times New Roman"/>
          <w:sz w:val="24"/>
          <w:szCs w:val="24"/>
          <w:lang w:bidi="pl-PL"/>
        </w:rPr>
        <w:t>,</w:t>
      </w:r>
      <w:r w:rsidRPr="00AC4AF9">
        <w:rPr>
          <w:rFonts w:ascii="Times New Roman" w:hAnsi="Times New Roman"/>
          <w:sz w:val="24"/>
          <w:szCs w:val="24"/>
          <w:lang w:bidi="pl-PL"/>
        </w:rPr>
        <w:t xml:space="preserve"> </w:t>
      </w:r>
      <w:r w:rsidR="000D1E94">
        <w:rPr>
          <w:rFonts w:ascii="Times New Roman" w:hAnsi="Times New Roman"/>
          <w:sz w:val="24"/>
          <w:szCs w:val="24"/>
          <w:lang w:bidi="pl-PL"/>
        </w:rPr>
        <w:t>że</w:t>
      </w:r>
      <w:r w:rsidR="00234F8D">
        <w:rPr>
          <w:rFonts w:ascii="Times New Roman" w:hAnsi="Times New Roman"/>
          <w:sz w:val="24"/>
          <w:szCs w:val="24"/>
          <w:lang w:bidi="pl-PL"/>
        </w:rPr>
        <w:t xml:space="preserve"> </w:t>
      </w:r>
      <w:r w:rsidRPr="00AC4AF9">
        <w:rPr>
          <w:rFonts w:ascii="Times New Roman" w:hAnsi="Times New Roman"/>
          <w:sz w:val="24"/>
          <w:szCs w:val="24"/>
          <w:lang w:bidi="pl-PL"/>
        </w:rPr>
        <w:t xml:space="preserve">wszelkie działania naprawy oraz restrukturyzacji i uporządkowanej likwidacji CCP, obarczały kosztami uczestników rynku powiązanych z CCP (wierzycieli, członków rozliczających, ich klientów) w sposób proporcjonalny i niedyskryminujący, nie obarczając przy tym podatników. </w:t>
      </w:r>
    </w:p>
    <w:p w:rsidR="00234F8D" w:rsidRDefault="00234F8D" w:rsidP="00AC4AF9">
      <w:pPr>
        <w:pStyle w:val="Tekstpodstawowy"/>
        <w:jc w:val="both"/>
        <w:rPr>
          <w:rFonts w:ascii="Times New Roman" w:hAnsi="Times New Roman"/>
          <w:sz w:val="24"/>
          <w:szCs w:val="24"/>
          <w:lang w:bidi="pl-PL"/>
        </w:rPr>
      </w:pPr>
    </w:p>
    <w:p w:rsidR="00AC4AF9" w:rsidRPr="00AC4AF9" w:rsidRDefault="00AC4AF9" w:rsidP="00AC4AF9">
      <w:pPr>
        <w:pStyle w:val="Tekstpodstawowy"/>
        <w:jc w:val="both"/>
        <w:rPr>
          <w:rFonts w:ascii="Times New Roman" w:hAnsi="Times New Roman"/>
          <w:b/>
          <w:sz w:val="24"/>
          <w:szCs w:val="24"/>
          <w:u w:val="single"/>
        </w:rPr>
      </w:pPr>
      <w:r w:rsidRPr="00AC4AF9">
        <w:rPr>
          <w:rFonts w:ascii="Times New Roman" w:hAnsi="Times New Roman"/>
          <w:b/>
          <w:sz w:val="24"/>
          <w:szCs w:val="24"/>
          <w:u w:val="single"/>
        </w:rPr>
        <w:t>Kwestie wymagające szczególnej uwagi Rządu RP podczas negocjacji w Radzie UE:</w:t>
      </w:r>
    </w:p>
    <w:p w:rsidR="00AC4AF9" w:rsidRDefault="00AC4AF9" w:rsidP="009F206C">
      <w:pPr>
        <w:pStyle w:val="Tekstpodstawowy"/>
        <w:spacing w:after="0" w:line="240" w:lineRule="auto"/>
        <w:jc w:val="both"/>
        <w:rPr>
          <w:rFonts w:ascii="Times New Roman" w:hAnsi="Times New Roman"/>
          <w:b/>
          <w:sz w:val="24"/>
          <w:szCs w:val="24"/>
        </w:rPr>
      </w:pPr>
    </w:p>
    <w:p w:rsidR="00F75BF4" w:rsidRDefault="00DF5450" w:rsidP="009F206C">
      <w:pPr>
        <w:pStyle w:val="Tekstpodstawowy"/>
        <w:spacing w:after="0" w:line="240" w:lineRule="auto"/>
        <w:jc w:val="both"/>
        <w:rPr>
          <w:rFonts w:ascii="Times New Roman" w:hAnsi="Times New Roman"/>
          <w:b/>
          <w:sz w:val="24"/>
          <w:szCs w:val="24"/>
        </w:rPr>
      </w:pPr>
      <w:r w:rsidRPr="003572C6">
        <w:rPr>
          <w:rFonts w:ascii="Times New Roman" w:hAnsi="Times New Roman"/>
          <w:b/>
          <w:sz w:val="24"/>
          <w:szCs w:val="24"/>
        </w:rPr>
        <w:t>Ad 1.</w:t>
      </w:r>
      <w:r w:rsidR="000D1E94" w:rsidRPr="000D1E94">
        <w:rPr>
          <w:rFonts w:ascii="Times New Roman" w:hAnsi="Times New Roman"/>
          <w:b/>
          <w:sz w:val="24"/>
          <w:szCs w:val="24"/>
        </w:rPr>
        <w:tab/>
        <w:t>Skład Kolegiów CCP</w:t>
      </w:r>
    </w:p>
    <w:p w:rsidR="00DF5450" w:rsidRPr="003572C6" w:rsidRDefault="00DF5450" w:rsidP="009F206C">
      <w:pPr>
        <w:pStyle w:val="Tekstpodstawowy"/>
        <w:spacing w:after="0" w:line="240" w:lineRule="auto"/>
        <w:jc w:val="both"/>
        <w:rPr>
          <w:rFonts w:ascii="Times New Roman" w:hAnsi="Times New Roman"/>
          <w:b/>
          <w:sz w:val="24"/>
          <w:szCs w:val="24"/>
        </w:rPr>
      </w:pPr>
      <w:bookmarkStart w:id="4" w:name="_GoBack"/>
      <w:bookmarkEnd w:id="4"/>
    </w:p>
    <w:p w:rsidR="00AC4AF9" w:rsidRPr="00234F8D" w:rsidRDefault="00AC4AF9" w:rsidP="00AC4AF9">
      <w:pPr>
        <w:suppressAutoHyphens/>
        <w:spacing w:after="160"/>
        <w:jc w:val="both"/>
        <w:rPr>
          <w:rFonts w:ascii="Times New Roman" w:hAnsi="Times New Roman"/>
          <w:sz w:val="24"/>
          <w:szCs w:val="24"/>
        </w:rPr>
      </w:pPr>
      <w:r w:rsidRPr="00234F8D">
        <w:rPr>
          <w:rFonts w:ascii="Times New Roman" w:hAnsi="Times New Roman"/>
          <w:sz w:val="24"/>
          <w:szCs w:val="24"/>
        </w:rPr>
        <w:t>W toku dalszych prac nad p</w:t>
      </w:r>
      <w:r w:rsidR="003572C6" w:rsidRPr="00234F8D">
        <w:rPr>
          <w:rFonts w:ascii="Times New Roman" w:hAnsi="Times New Roman"/>
          <w:sz w:val="24"/>
          <w:szCs w:val="24"/>
        </w:rPr>
        <w:t>rojektem Rząd RP będzie dążył</w:t>
      </w:r>
      <w:r w:rsidR="00234F8D">
        <w:rPr>
          <w:rFonts w:ascii="Times New Roman" w:hAnsi="Times New Roman"/>
          <w:sz w:val="24"/>
          <w:szCs w:val="24"/>
        </w:rPr>
        <w:t xml:space="preserve"> do zachowania maksymalnie dużych</w:t>
      </w:r>
      <w:r w:rsidR="003572C6" w:rsidRPr="00234F8D">
        <w:rPr>
          <w:rFonts w:ascii="Times New Roman" w:hAnsi="Times New Roman"/>
          <w:sz w:val="24"/>
          <w:szCs w:val="24"/>
        </w:rPr>
        <w:t xml:space="preserve"> kompetencji krajowych organów </w:t>
      </w:r>
      <w:r w:rsidR="003572C6" w:rsidRPr="00234F8D">
        <w:rPr>
          <w:rFonts w:ascii="Times New Roman" w:hAnsi="Times New Roman"/>
          <w:i/>
          <w:iCs/>
          <w:sz w:val="24"/>
          <w:szCs w:val="24"/>
        </w:rPr>
        <w:t>resolution</w:t>
      </w:r>
      <w:r w:rsidR="003572C6" w:rsidRPr="00234F8D">
        <w:rPr>
          <w:rFonts w:ascii="Times New Roman" w:hAnsi="Times New Roman"/>
          <w:sz w:val="24"/>
          <w:szCs w:val="24"/>
        </w:rPr>
        <w:t xml:space="preserve"> CCP w stosunku do krajowych CCP – </w:t>
      </w:r>
      <w:r w:rsidRPr="00234F8D">
        <w:rPr>
          <w:rFonts w:ascii="Times New Roman" w:hAnsi="Times New Roman"/>
          <w:sz w:val="24"/>
          <w:szCs w:val="24"/>
        </w:rPr>
        <w:br/>
      </w:r>
      <w:r w:rsidR="003572C6" w:rsidRPr="00234F8D">
        <w:rPr>
          <w:rFonts w:ascii="Times New Roman" w:hAnsi="Times New Roman"/>
          <w:sz w:val="24"/>
          <w:szCs w:val="24"/>
        </w:rPr>
        <w:t xml:space="preserve">w porównaniu do kompetencji przyznawanych tzw. kolegiom resolution. Ze względu na obecną strukturę właścicielską działającego w Polsce podmiotu CCP (tzn. KDPW_CCP </w:t>
      </w:r>
      <w:r w:rsidRPr="00234F8D">
        <w:rPr>
          <w:rFonts w:ascii="Times New Roman" w:hAnsi="Times New Roman"/>
          <w:sz w:val="24"/>
          <w:szCs w:val="24"/>
        </w:rPr>
        <w:t>S.A.) i zgodnie z propozycjami p</w:t>
      </w:r>
      <w:r w:rsidR="003572C6" w:rsidRPr="00234F8D">
        <w:rPr>
          <w:rFonts w:ascii="Times New Roman" w:hAnsi="Times New Roman"/>
          <w:sz w:val="24"/>
          <w:szCs w:val="24"/>
        </w:rPr>
        <w:t>rojektu w praktyce rola kolegiów w stosunku do polskiego CCP będ</w:t>
      </w:r>
      <w:r w:rsidR="002C0E32">
        <w:rPr>
          <w:rFonts w:ascii="Times New Roman" w:hAnsi="Times New Roman"/>
          <w:sz w:val="24"/>
          <w:szCs w:val="24"/>
        </w:rPr>
        <w:t>zie bardzo ograniczona, niemniej</w:t>
      </w:r>
      <w:r w:rsidR="003572C6" w:rsidRPr="00234F8D">
        <w:rPr>
          <w:rFonts w:ascii="Times New Roman" w:hAnsi="Times New Roman"/>
          <w:sz w:val="24"/>
          <w:szCs w:val="24"/>
        </w:rPr>
        <w:t xml:space="preserve"> należy w tym względzie dążyć do zabezpieczenia interesów polskiego organu przymusowej restrukturyzacji, w sytuacji, gdyby w polskiej jurysdykcji zostały utworzone inne CCP lub dotychczas działające CCP zmieniło strukturę swego akcjonariatu.</w:t>
      </w:r>
      <w:r w:rsidRPr="00234F8D">
        <w:rPr>
          <w:rFonts w:ascii="Times New Roman" w:hAnsi="Times New Roman"/>
          <w:sz w:val="24"/>
          <w:szCs w:val="24"/>
        </w:rPr>
        <w:t xml:space="preserve"> Ponadto należy podkreślić, iż </w:t>
      </w:r>
      <w:r w:rsidRPr="00234F8D">
        <w:rPr>
          <w:rFonts w:ascii="Times New Roman" w:eastAsia="Palatino Linotype" w:hAnsi="Times New Roman"/>
          <w:sz w:val="24"/>
          <w:szCs w:val="24"/>
          <w:lang w:eastAsia="pl-PL"/>
        </w:rPr>
        <w:t xml:space="preserve">działania w zakresie </w:t>
      </w:r>
      <w:r w:rsidRPr="00234F8D">
        <w:rPr>
          <w:rFonts w:ascii="Times New Roman" w:eastAsia="Palatino Linotype" w:hAnsi="Times New Roman"/>
          <w:i/>
          <w:sz w:val="24"/>
          <w:szCs w:val="24"/>
          <w:lang w:eastAsia="pl-PL"/>
        </w:rPr>
        <w:t>resolution</w:t>
      </w:r>
      <w:r w:rsidRPr="00234F8D">
        <w:rPr>
          <w:rFonts w:ascii="Times New Roman" w:eastAsia="Palatino Linotype" w:hAnsi="Times New Roman"/>
          <w:sz w:val="24"/>
          <w:szCs w:val="24"/>
          <w:lang w:eastAsia="pl-PL"/>
        </w:rPr>
        <w:t xml:space="preserve"> zaproponowane przez KE mogą mieć daleko idące skutki, które mogą być przenoszone na dalsze podmioty (np. klientów członków rozliczających CCP) pomimo braku przedstawicieli </w:t>
      </w:r>
      <w:r w:rsidRPr="00234F8D">
        <w:rPr>
          <w:rFonts w:ascii="Times New Roman" w:eastAsia="Palatino Linotype" w:hAnsi="Times New Roman"/>
          <w:sz w:val="24"/>
          <w:szCs w:val="24"/>
          <w:lang w:eastAsia="pl-PL"/>
        </w:rPr>
        <w:lastRenderedPageBreak/>
        <w:t xml:space="preserve">ich organów nadzorczych lub </w:t>
      </w:r>
      <w:r w:rsidRPr="00234F8D">
        <w:rPr>
          <w:rFonts w:ascii="Times New Roman" w:eastAsia="Palatino Linotype" w:hAnsi="Times New Roman"/>
          <w:i/>
          <w:sz w:val="24"/>
          <w:szCs w:val="24"/>
          <w:lang w:eastAsia="pl-PL"/>
        </w:rPr>
        <w:t>resolution</w:t>
      </w:r>
      <w:r w:rsidRPr="00234F8D">
        <w:rPr>
          <w:rFonts w:ascii="Times New Roman" w:eastAsia="Palatino Linotype" w:hAnsi="Times New Roman"/>
          <w:sz w:val="24"/>
          <w:szCs w:val="24"/>
          <w:lang w:eastAsia="pl-PL"/>
        </w:rPr>
        <w:t xml:space="preserve"> w kolegium nadzorczym i kolegium </w:t>
      </w:r>
      <w:r w:rsidRPr="00234F8D">
        <w:rPr>
          <w:rFonts w:ascii="Times New Roman" w:eastAsia="Palatino Linotype" w:hAnsi="Times New Roman"/>
          <w:i/>
          <w:sz w:val="24"/>
          <w:szCs w:val="24"/>
          <w:lang w:eastAsia="pl-PL"/>
        </w:rPr>
        <w:t>resolution</w:t>
      </w:r>
      <w:r w:rsidRPr="00234F8D">
        <w:rPr>
          <w:rFonts w:ascii="Times New Roman" w:eastAsia="Palatino Linotype" w:hAnsi="Times New Roman"/>
          <w:sz w:val="24"/>
          <w:szCs w:val="24"/>
          <w:lang w:eastAsia="pl-PL"/>
        </w:rPr>
        <w:t>.</w:t>
      </w:r>
      <w:r w:rsidRPr="00234F8D">
        <w:rPr>
          <w:rFonts w:ascii="Times New Roman" w:eastAsia="Palatino Linotype" w:hAnsi="Times New Roman"/>
          <w:b/>
          <w:sz w:val="24"/>
          <w:szCs w:val="24"/>
          <w:lang w:eastAsia="pl-PL"/>
        </w:rPr>
        <w:t xml:space="preserve"> </w:t>
      </w:r>
      <w:r w:rsidRPr="00234F8D">
        <w:rPr>
          <w:rFonts w:ascii="Times New Roman" w:eastAsia="Palatino Linotype" w:hAnsi="Times New Roman"/>
          <w:sz w:val="24"/>
          <w:szCs w:val="24"/>
          <w:lang w:eastAsia="pl-PL"/>
        </w:rPr>
        <w:t xml:space="preserve">Takie rozwiązanie może mieć w określonej sytuacji niekorzystne konsekwencje dla krajowych instytucji finansowych. Niektóre banki działające w Polsce rozliczają swoje transakcje np. przez londyńskie CCP, ale zgodnie z projektowanymi przepisami organy polskiej sieci bezpieczeństwa finansowego nie miałyby wpływu na decyzje w zakresie </w:t>
      </w:r>
      <w:r w:rsidRPr="00234F8D">
        <w:rPr>
          <w:rFonts w:ascii="Times New Roman" w:eastAsia="Palatino Linotype" w:hAnsi="Times New Roman"/>
          <w:i/>
          <w:sz w:val="24"/>
          <w:szCs w:val="24"/>
          <w:lang w:eastAsia="pl-PL"/>
        </w:rPr>
        <w:t>resolution</w:t>
      </w:r>
      <w:r w:rsidRPr="00234F8D">
        <w:rPr>
          <w:rFonts w:ascii="Times New Roman" w:eastAsia="Palatino Linotype" w:hAnsi="Times New Roman"/>
          <w:sz w:val="24"/>
          <w:szCs w:val="24"/>
          <w:lang w:eastAsia="pl-PL"/>
        </w:rPr>
        <w:t xml:space="preserve"> mogące rodzić skutki finansowe dla tych podmiotów. </w:t>
      </w:r>
    </w:p>
    <w:p w:rsidR="00DF5450" w:rsidRDefault="00A7440B" w:rsidP="009F206C">
      <w:pPr>
        <w:pStyle w:val="Tekstpodstawowy"/>
        <w:spacing w:after="0" w:line="240" w:lineRule="auto"/>
        <w:jc w:val="both"/>
        <w:rPr>
          <w:rFonts w:ascii="Times New Roman" w:hAnsi="Times New Roman"/>
          <w:b/>
          <w:sz w:val="24"/>
          <w:szCs w:val="24"/>
        </w:rPr>
      </w:pPr>
      <w:r w:rsidRPr="00234F8D">
        <w:rPr>
          <w:rFonts w:ascii="Times New Roman" w:hAnsi="Times New Roman"/>
          <w:b/>
          <w:sz w:val="24"/>
          <w:szCs w:val="24"/>
        </w:rPr>
        <w:t xml:space="preserve">Ad 2. </w:t>
      </w:r>
      <w:r w:rsidR="000D1E94" w:rsidRPr="000D1E94">
        <w:rPr>
          <w:rFonts w:ascii="Times New Roman" w:hAnsi="Times New Roman"/>
          <w:b/>
          <w:sz w:val="24"/>
          <w:szCs w:val="24"/>
        </w:rPr>
        <w:tab/>
        <w:t xml:space="preserve">Katalog sytuacji inicjujących rozpoczęcie procesu </w:t>
      </w:r>
      <w:r w:rsidR="000D1E94" w:rsidRPr="00F75BF4">
        <w:rPr>
          <w:rFonts w:ascii="Times New Roman" w:hAnsi="Times New Roman"/>
          <w:b/>
          <w:i/>
          <w:sz w:val="24"/>
          <w:szCs w:val="24"/>
        </w:rPr>
        <w:t>resolution</w:t>
      </w:r>
      <w:r w:rsidR="000D1E94">
        <w:rPr>
          <w:rFonts w:ascii="Times New Roman" w:hAnsi="Times New Roman"/>
          <w:b/>
          <w:i/>
          <w:sz w:val="24"/>
          <w:szCs w:val="24"/>
        </w:rPr>
        <w:t>.</w:t>
      </w:r>
    </w:p>
    <w:p w:rsidR="00A7440B" w:rsidRPr="00234F8D" w:rsidRDefault="00A7440B" w:rsidP="00A53AD8">
      <w:pPr>
        <w:pStyle w:val="Tekstpodstawowy"/>
        <w:spacing w:after="0"/>
        <w:jc w:val="both"/>
        <w:rPr>
          <w:rFonts w:ascii="Times New Roman" w:hAnsi="Times New Roman"/>
          <w:b/>
          <w:sz w:val="24"/>
          <w:szCs w:val="24"/>
        </w:rPr>
      </w:pPr>
      <w:r w:rsidRPr="00234F8D">
        <w:rPr>
          <w:rFonts w:ascii="Times New Roman" w:hAnsi="Times New Roman"/>
          <w:sz w:val="24"/>
          <w:szCs w:val="24"/>
        </w:rPr>
        <w:t xml:space="preserve">Rząd RP popiera ideę braku zamkniętego katalogu sytuacji, które inicjują proces </w:t>
      </w:r>
      <w:r w:rsidR="00221663" w:rsidRPr="00234F8D">
        <w:rPr>
          <w:rFonts w:ascii="Times New Roman" w:hAnsi="Times New Roman"/>
          <w:sz w:val="24"/>
          <w:szCs w:val="24"/>
        </w:rPr>
        <w:t>resolution. T</w:t>
      </w:r>
      <w:r w:rsidRPr="00234F8D">
        <w:rPr>
          <w:rFonts w:ascii="Times New Roman" w:hAnsi="Times New Roman"/>
          <w:sz w:val="24"/>
          <w:szCs w:val="24"/>
        </w:rPr>
        <w:t xml:space="preserve">akie podejście należy utrzymać w dalszym procesie legislacyjnym z uwagi na brak jednoznacznej odpowiedzi, jakie wskaźniki/wydarzenia lub/i ich kombinacje są tymi kluczowymi dla </w:t>
      </w:r>
      <w:r w:rsidR="00221663" w:rsidRPr="00234F8D">
        <w:rPr>
          <w:rFonts w:ascii="Times New Roman" w:hAnsi="Times New Roman"/>
          <w:sz w:val="24"/>
          <w:szCs w:val="24"/>
        </w:rPr>
        <w:t xml:space="preserve">podjęcia </w:t>
      </w:r>
      <w:r w:rsidRPr="00234F8D">
        <w:rPr>
          <w:rFonts w:ascii="Times New Roman" w:hAnsi="Times New Roman"/>
          <w:sz w:val="24"/>
          <w:szCs w:val="24"/>
        </w:rPr>
        <w:t>takiej decyzji. Jednocześnie ESMA powinna określić w odpowiedni sposób (np. w wydawanych przez siebie wytycznych, o których mowa w art. 22 ust. 4 przedmiotowego rozporządzenia) propozycję ewentualnych czynników i wskaźników, jakie mogłyby być w</w:t>
      </w:r>
      <w:r w:rsidR="00432AFF" w:rsidRPr="00234F8D">
        <w:rPr>
          <w:rFonts w:ascii="Times New Roman" w:hAnsi="Times New Roman"/>
          <w:sz w:val="24"/>
          <w:szCs w:val="24"/>
        </w:rPr>
        <w:t xml:space="preserve">zięte pod uwagę w ww. zakresie, </w:t>
      </w:r>
      <w:r w:rsidRPr="00234F8D">
        <w:rPr>
          <w:rFonts w:ascii="Times New Roman" w:hAnsi="Times New Roman"/>
          <w:sz w:val="24"/>
          <w:szCs w:val="24"/>
        </w:rPr>
        <w:t xml:space="preserve">traktując </w:t>
      </w:r>
      <w:r w:rsidR="00432AFF" w:rsidRPr="00234F8D">
        <w:rPr>
          <w:rFonts w:ascii="Times New Roman" w:hAnsi="Times New Roman"/>
          <w:sz w:val="24"/>
          <w:szCs w:val="24"/>
        </w:rPr>
        <w:t xml:space="preserve">takie rozwiązanie </w:t>
      </w:r>
      <w:r w:rsidRPr="00234F8D">
        <w:rPr>
          <w:rFonts w:ascii="Times New Roman" w:hAnsi="Times New Roman"/>
          <w:sz w:val="24"/>
          <w:szCs w:val="24"/>
        </w:rPr>
        <w:t>nadal jako katalog otwarty.</w:t>
      </w:r>
    </w:p>
    <w:p w:rsidR="00A53AD8" w:rsidRDefault="00A53AD8" w:rsidP="009F206C">
      <w:pPr>
        <w:pStyle w:val="Tekstpodstawowy"/>
        <w:spacing w:after="0" w:line="240" w:lineRule="auto"/>
        <w:jc w:val="both"/>
        <w:rPr>
          <w:rFonts w:ascii="Times New Roman" w:hAnsi="Times New Roman"/>
          <w:b/>
          <w:sz w:val="24"/>
          <w:szCs w:val="24"/>
        </w:rPr>
      </w:pPr>
    </w:p>
    <w:p w:rsidR="00DF5450" w:rsidRPr="00F75BF4" w:rsidRDefault="00DF5450" w:rsidP="009F206C">
      <w:pPr>
        <w:pStyle w:val="Tekstpodstawowy"/>
        <w:spacing w:after="0" w:line="240" w:lineRule="auto"/>
        <w:jc w:val="both"/>
        <w:rPr>
          <w:rFonts w:ascii="Times New Roman" w:hAnsi="Times New Roman"/>
          <w:b/>
          <w:sz w:val="24"/>
          <w:szCs w:val="24"/>
        </w:rPr>
      </w:pPr>
      <w:r w:rsidRPr="00234F8D">
        <w:rPr>
          <w:rFonts w:ascii="Times New Roman" w:hAnsi="Times New Roman"/>
          <w:b/>
          <w:sz w:val="24"/>
          <w:szCs w:val="24"/>
        </w:rPr>
        <w:t>Ad 3.</w:t>
      </w:r>
      <w:r w:rsidRPr="00F75BF4">
        <w:rPr>
          <w:rFonts w:ascii="Times New Roman" w:hAnsi="Times New Roman"/>
          <w:b/>
          <w:sz w:val="24"/>
          <w:szCs w:val="24"/>
        </w:rPr>
        <w:t xml:space="preserve"> </w:t>
      </w:r>
      <w:r w:rsidR="000D1E94" w:rsidRPr="00F75BF4">
        <w:rPr>
          <w:rFonts w:ascii="Times New Roman" w:hAnsi="Times New Roman"/>
          <w:b/>
          <w:sz w:val="24"/>
          <w:szCs w:val="24"/>
        </w:rPr>
        <w:tab/>
        <w:t>Narzędzia resolution, tj. katalog działań naprawczych oraz restrukturyzacji i uporządkowanej likwidacji CCP;</w:t>
      </w:r>
    </w:p>
    <w:p w:rsidR="009F206C" w:rsidRPr="00234F8D" w:rsidRDefault="009F206C" w:rsidP="002C0E32">
      <w:pPr>
        <w:pStyle w:val="Tekstpodstawowy"/>
        <w:spacing w:after="0"/>
        <w:jc w:val="both"/>
        <w:rPr>
          <w:rFonts w:ascii="Times New Roman" w:hAnsi="Times New Roman"/>
          <w:sz w:val="24"/>
          <w:szCs w:val="24"/>
        </w:rPr>
      </w:pPr>
      <w:r w:rsidRPr="00234F8D">
        <w:rPr>
          <w:rFonts w:ascii="Times New Roman" w:hAnsi="Times New Roman"/>
          <w:sz w:val="24"/>
          <w:szCs w:val="24"/>
        </w:rPr>
        <w:t xml:space="preserve">Projektowane przepisy zapewniają duży stopień elastyczności w zakresie działań naprawczych oraz restrukturyzacji i uporządkowanej likwidacji CCP, ale jednocześnie </w:t>
      </w:r>
      <w:r w:rsidR="002C0E32">
        <w:rPr>
          <w:rFonts w:ascii="Times New Roman" w:hAnsi="Times New Roman"/>
          <w:sz w:val="24"/>
          <w:szCs w:val="24"/>
        </w:rPr>
        <w:t xml:space="preserve">nie wskazano precyzyjnie </w:t>
      </w:r>
      <w:r w:rsidRPr="00234F8D">
        <w:rPr>
          <w:rFonts w:ascii="Times New Roman" w:hAnsi="Times New Roman"/>
          <w:sz w:val="24"/>
          <w:szCs w:val="24"/>
        </w:rPr>
        <w:t>możliwych do zastosowania rozwiązań i instrumentów</w:t>
      </w:r>
      <w:r w:rsidR="002C0E32">
        <w:rPr>
          <w:rFonts w:ascii="Times New Roman" w:hAnsi="Times New Roman"/>
          <w:sz w:val="24"/>
          <w:szCs w:val="24"/>
        </w:rPr>
        <w:t>, co</w:t>
      </w:r>
      <w:r w:rsidRPr="00234F8D">
        <w:rPr>
          <w:rFonts w:ascii="Times New Roman" w:hAnsi="Times New Roman"/>
          <w:sz w:val="24"/>
          <w:szCs w:val="24"/>
        </w:rPr>
        <w:t xml:space="preserve"> może mieć negatywny wpływ na osiągnięcie planowanych celów regulacji oraz zapewnienie spójności interpretacji i stosowania przepisów w poszczególnych krajach UE. Wydaje się, że może to mieć istotne znaczenie z perspektywy krajowego rynku finansowego.</w:t>
      </w:r>
    </w:p>
    <w:p w:rsidR="00432AFF" w:rsidRPr="00234F8D" w:rsidRDefault="00432AFF" w:rsidP="00F75BF4">
      <w:pPr>
        <w:pStyle w:val="Tekstpodstawowy"/>
        <w:spacing w:before="120" w:after="0"/>
        <w:jc w:val="both"/>
        <w:rPr>
          <w:rFonts w:ascii="Times New Roman" w:hAnsi="Times New Roman"/>
          <w:sz w:val="24"/>
          <w:szCs w:val="24"/>
        </w:rPr>
      </w:pPr>
      <w:r w:rsidRPr="00234F8D">
        <w:rPr>
          <w:rFonts w:ascii="Times New Roman" w:hAnsi="Times New Roman"/>
          <w:sz w:val="24"/>
          <w:szCs w:val="24"/>
        </w:rPr>
        <w:t xml:space="preserve">Ponadto należy z uwagą podchodzić do kwestii kolejności zastosowania narzędzi w ramach procesu </w:t>
      </w:r>
      <w:r w:rsidRPr="002C0E32">
        <w:rPr>
          <w:rFonts w:ascii="Times New Roman" w:hAnsi="Times New Roman"/>
          <w:i/>
          <w:sz w:val="24"/>
          <w:szCs w:val="24"/>
        </w:rPr>
        <w:t>resolution</w:t>
      </w:r>
      <w:r w:rsidRPr="00234F8D">
        <w:rPr>
          <w:rFonts w:ascii="Times New Roman" w:hAnsi="Times New Roman"/>
          <w:sz w:val="24"/>
          <w:szCs w:val="24"/>
        </w:rPr>
        <w:t>, a przede wszystkim</w:t>
      </w:r>
      <w:r w:rsidR="00221663" w:rsidRPr="00234F8D">
        <w:rPr>
          <w:rFonts w:ascii="Times New Roman" w:hAnsi="Times New Roman"/>
          <w:sz w:val="24"/>
          <w:szCs w:val="24"/>
        </w:rPr>
        <w:t xml:space="preserve"> wynikających</w:t>
      </w:r>
      <w:r w:rsidRPr="00234F8D">
        <w:rPr>
          <w:rFonts w:ascii="Times New Roman" w:hAnsi="Times New Roman"/>
          <w:sz w:val="24"/>
          <w:szCs w:val="24"/>
        </w:rPr>
        <w:t xml:space="preserve"> w związku z tym obciążeniami dla poszczególnych zainteresowanych</w:t>
      </w:r>
      <w:r w:rsidR="002C0E32">
        <w:rPr>
          <w:rFonts w:ascii="Times New Roman" w:hAnsi="Times New Roman"/>
          <w:sz w:val="24"/>
          <w:szCs w:val="24"/>
        </w:rPr>
        <w:t xml:space="preserve"> stron</w:t>
      </w:r>
      <w:r w:rsidRPr="00234F8D">
        <w:rPr>
          <w:rFonts w:ascii="Times New Roman" w:hAnsi="Times New Roman"/>
          <w:sz w:val="24"/>
          <w:szCs w:val="24"/>
        </w:rPr>
        <w:t>. Istotne jest bowiem zapewnienie, że nie powstanie możliwość zbyt swobodn</w:t>
      </w:r>
      <w:r w:rsidR="002C0E32">
        <w:rPr>
          <w:rFonts w:ascii="Times New Roman" w:hAnsi="Times New Roman"/>
          <w:sz w:val="24"/>
          <w:szCs w:val="24"/>
        </w:rPr>
        <w:t>ego przerzucania kosztów od</w:t>
      </w:r>
      <w:r w:rsidRPr="00234F8D">
        <w:rPr>
          <w:rFonts w:ascii="Times New Roman" w:hAnsi="Times New Roman"/>
          <w:sz w:val="24"/>
          <w:szCs w:val="24"/>
        </w:rPr>
        <w:t xml:space="preserve"> początku na nieupadających uczestników rozliczających poprzez zastosowanie narzędzia </w:t>
      </w:r>
      <w:proofErr w:type="spellStart"/>
      <w:r w:rsidRPr="00234F8D">
        <w:rPr>
          <w:rFonts w:ascii="Times New Roman" w:hAnsi="Times New Roman"/>
          <w:i/>
          <w:sz w:val="24"/>
          <w:szCs w:val="24"/>
        </w:rPr>
        <w:t>cash</w:t>
      </w:r>
      <w:proofErr w:type="spellEnd"/>
      <w:r w:rsidRPr="00234F8D">
        <w:rPr>
          <w:rFonts w:ascii="Times New Roman" w:hAnsi="Times New Roman"/>
          <w:i/>
          <w:sz w:val="24"/>
          <w:szCs w:val="24"/>
        </w:rPr>
        <w:t xml:space="preserve"> </w:t>
      </w:r>
      <w:proofErr w:type="spellStart"/>
      <w:r w:rsidRPr="00234F8D">
        <w:rPr>
          <w:rFonts w:ascii="Times New Roman" w:hAnsi="Times New Roman"/>
          <w:i/>
          <w:sz w:val="24"/>
          <w:szCs w:val="24"/>
        </w:rPr>
        <w:t>call</w:t>
      </w:r>
      <w:proofErr w:type="spellEnd"/>
      <w:r w:rsidRPr="00234F8D">
        <w:rPr>
          <w:rFonts w:ascii="Times New Roman" w:hAnsi="Times New Roman"/>
          <w:sz w:val="24"/>
          <w:szCs w:val="24"/>
        </w:rPr>
        <w:t xml:space="preserve">, o </w:t>
      </w:r>
      <w:r w:rsidR="00403AC2" w:rsidRPr="00234F8D">
        <w:rPr>
          <w:rFonts w:ascii="Times New Roman" w:hAnsi="Times New Roman"/>
          <w:sz w:val="24"/>
          <w:szCs w:val="24"/>
        </w:rPr>
        <w:t xml:space="preserve">których mowa w art. 23, art. 27 ust. </w:t>
      </w:r>
      <w:r w:rsidR="002C0E32">
        <w:rPr>
          <w:rFonts w:ascii="Times New Roman" w:hAnsi="Times New Roman"/>
          <w:sz w:val="24"/>
          <w:szCs w:val="24"/>
        </w:rPr>
        <w:t>3. I</w:t>
      </w:r>
      <w:r w:rsidR="00221663" w:rsidRPr="00234F8D">
        <w:rPr>
          <w:rFonts w:ascii="Times New Roman" w:hAnsi="Times New Roman"/>
          <w:sz w:val="24"/>
          <w:szCs w:val="24"/>
        </w:rPr>
        <w:t xml:space="preserve">stnieje obawa, iż </w:t>
      </w:r>
      <w:r w:rsidRPr="00234F8D">
        <w:rPr>
          <w:rFonts w:ascii="Times New Roman" w:hAnsi="Times New Roman"/>
          <w:sz w:val="24"/>
          <w:szCs w:val="24"/>
        </w:rPr>
        <w:t xml:space="preserve">wspominane w ww. artykułach </w:t>
      </w:r>
      <w:proofErr w:type="spellStart"/>
      <w:r w:rsidRPr="00234F8D">
        <w:rPr>
          <w:rFonts w:ascii="Times New Roman" w:hAnsi="Times New Roman"/>
          <w:i/>
          <w:sz w:val="24"/>
          <w:szCs w:val="24"/>
        </w:rPr>
        <w:t>contractual</w:t>
      </w:r>
      <w:proofErr w:type="spellEnd"/>
      <w:r w:rsidRPr="00234F8D">
        <w:rPr>
          <w:rFonts w:ascii="Times New Roman" w:hAnsi="Times New Roman"/>
          <w:i/>
          <w:sz w:val="24"/>
          <w:szCs w:val="24"/>
        </w:rPr>
        <w:t xml:space="preserve"> </w:t>
      </w:r>
      <w:proofErr w:type="spellStart"/>
      <w:r w:rsidRPr="00234F8D">
        <w:rPr>
          <w:rFonts w:ascii="Times New Roman" w:hAnsi="Times New Roman"/>
          <w:i/>
          <w:sz w:val="24"/>
          <w:szCs w:val="24"/>
        </w:rPr>
        <w:t>agreements</w:t>
      </w:r>
      <w:proofErr w:type="spellEnd"/>
      <w:r w:rsidRPr="00234F8D">
        <w:rPr>
          <w:rFonts w:ascii="Times New Roman" w:hAnsi="Times New Roman"/>
          <w:sz w:val="24"/>
          <w:szCs w:val="24"/>
        </w:rPr>
        <w:t xml:space="preserve"> mogą być nałożo</w:t>
      </w:r>
      <w:r w:rsidR="00221663" w:rsidRPr="00234F8D">
        <w:rPr>
          <w:rFonts w:ascii="Times New Roman" w:hAnsi="Times New Roman"/>
          <w:sz w:val="24"/>
          <w:szCs w:val="24"/>
        </w:rPr>
        <w:t>ne jednostronnie na członka rozliczającego</w:t>
      </w:r>
      <w:r w:rsidRPr="00234F8D">
        <w:rPr>
          <w:rFonts w:ascii="Times New Roman" w:hAnsi="Times New Roman"/>
          <w:sz w:val="24"/>
          <w:szCs w:val="24"/>
        </w:rPr>
        <w:t xml:space="preserve"> w momencie przynależności do danego CCP </w:t>
      </w:r>
      <w:r w:rsidR="00403AC2" w:rsidRPr="00234F8D">
        <w:rPr>
          <w:rFonts w:ascii="Times New Roman" w:hAnsi="Times New Roman"/>
          <w:sz w:val="24"/>
          <w:szCs w:val="24"/>
        </w:rPr>
        <w:t>bez możliwości</w:t>
      </w:r>
      <w:r w:rsidR="00221663" w:rsidRPr="00234F8D">
        <w:rPr>
          <w:rFonts w:ascii="Times New Roman" w:hAnsi="Times New Roman"/>
          <w:sz w:val="24"/>
          <w:szCs w:val="24"/>
        </w:rPr>
        <w:t xml:space="preserve"> sprzeciwu </w:t>
      </w:r>
      <w:r w:rsidR="00403AC2" w:rsidRPr="00234F8D">
        <w:rPr>
          <w:rFonts w:ascii="Times New Roman" w:hAnsi="Times New Roman"/>
          <w:sz w:val="24"/>
          <w:szCs w:val="24"/>
        </w:rPr>
        <w:t xml:space="preserve">lub na podstawie art. 27 ust. 1 lit. </w:t>
      </w:r>
      <w:r w:rsidRPr="00234F8D">
        <w:rPr>
          <w:rFonts w:ascii="Times New Roman" w:hAnsi="Times New Roman"/>
          <w:sz w:val="24"/>
          <w:szCs w:val="24"/>
        </w:rPr>
        <w:t>e), który otwi</w:t>
      </w:r>
      <w:r w:rsidR="00403AC2" w:rsidRPr="00234F8D">
        <w:rPr>
          <w:rFonts w:ascii="Times New Roman" w:hAnsi="Times New Roman"/>
          <w:sz w:val="24"/>
          <w:szCs w:val="24"/>
        </w:rPr>
        <w:t>era katalog narzędzi resolution</w:t>
      </w:r>
      <w:r w:rsidRPr="00234F8D">
        <w:rPr>
          <w:rFonts w:ascii="Times New Roman" w:hAnsi="Times New Roman"/>
          <w:sz w:val="24"/>
          <w:szCs w:val="24"/>
        </w:rPr>
        <w:t xml:space="preserve">. W związku z powyższym istotnym jest posiadanie ustalonych zasad w tym zakresie, które rozkładałyby stosownie ciężar mając na uwadze m.in. i udziałowca CCP i </w:t>
      </w:r>
      <w:r w:rsidR="00221663" w:rsidRPr="00234F8D">
        <w:rPr>
          <w:rFonts w:ascii="Times New Roman" w:hAnsi="Times New Roman"/>
          <w:sz w:val="24"/>
          <w:szCs w:val="24"/>
        </w:rPr>
        <w:t>członka rozliczającego</w:t>
      </w:r>
      <w:r w:rsidRPr="00234F8D">
        <w:rPr>
          <w:rFonts w:ascii="Times New Roman" w:hAnsi="Times New Roman"/>
          <w:sz w:val="24"/>
          <w:szCs w:val="24"/>
        </w:rPr>
        <w:t>.</w:t>
      </w:r>
    </w:p>
    <w:p w:rsidR="009F206C" w:rsidRPr="00234F8D" w:rsidRDefault="009F206C" w:rsidP="00CD4B86">
      <w:pPr>
        <w:pStyle w:val="Tekstpodstawowy"/>
        <w:spacing w:after="0" w:line="240" w:lineRule="auto"/>
        <w:rPr>
          <w:rFonts w:ascii="Times New Roman" w:hAnsi="Times New Roman"/>
          <w:sz w:val="24"/>
          <w:szCs w:val="24"/>
        </w:rPr>
      </w:pPr>
    </w:p>
    <w:p w:rsidR="009F206C" w:rsidRPr="00234F8D" w:rsidRDefault="00AC4AF9" w:rsidP="00AC4AF9">
      <w:pPr>
        <w:pStyle w:val="Tekstpodstawowy"/>
        <w:tabs>
          <w:tab w:val="left" w:pos="7380"/>
        </w:tabs>
        <w:spacing w:after="0" w:line="240" w:lineRule="auto"/>
        <w:rPr>
          <w:rFonts w:ascii="Times New Roman" w:hAnsi="Times New Roman"/>
          <w:sz w:val="24"/>
          <w:szCs w:val="24"/>
        </w:rPr>
      </w:pPr>
      <w:r w:rsidRPr="00234F8D">
        <w:rPr>
          <w:rFonts w:ascii="Times New Roman" w:hAnsi="Times New Roman"/>
          <w:sz w:val="24"/>
          <w:szCs w:val="24"/>
        </w:rPr>
        <w:tab/>
      </w:r>
    </w:p>
    <w:p w:rsidR="00B22407" w:rsidRPr="00234F8D" w:rsidRDefault="00B22407" w:rsidP="00476D3E">
      <w:pPr>
        <w:pStyle w:val="Tekstpodstawowy"/>
        <w:spacing w:after="0" w:line="240" w:lineRule="auto"/>
        <w:jc w:val="both"/>
        <w:rPr>
          <w:rFonts w:ascii="Times New Roman" w:hAnsi="Times New Roman"/>
          <w:b/>
          <w:sz w:val="24"/>
          <w:szCs w:val="24"/>
        </w:rPr>
      </w:pPr>
      <w:r w:rsidRPr="00234F8D">
        <w:rPr>
          <w:rFonts w:ascii="Times New Roman" w:hAnsi="Times New Roman"/>
          <w:b/>
          <w:sz w:val="24"/>
          <w:szCs w:val="24"/>
        </w:rPr>
        <w:t>Ad. 4</w:t>
      </w:r>
      <w:r w:rsidR="00D73CD3" w:rsidRPr="00234F8D">
        <w:rPr>
          <w:rFonts w:ascii="Times New Roman" w:hAnsi="Times New Roman"/>
          <w:b/>
          <w:sz w:val="24"/>
          <w:szCs w:val="24"/>
        </w:rPr>
        <w:t xml:space="preserve">. </w:t>
      </w:r>
      <w:r w:rsidR="003F0435" w:rsidRPr="003F0435">
        <w:rPr>
          <w:rFonts w:ascii="Times New Roman" w:hAnsi="Times New Roman"/>
          <w:b/>
          <w:sz w:val="24"/>
          <w:szCs w:val="24"/>
        </w:rPr>
        <w:t xml:space="preserve">Kompetencje organu </w:t>
      </w:r>
      <w:r w:rsidR="003F0435" w:rsidRPr="00F75BF4">
        <w:rPr>
          <w:rFonts w:ascii="Times New Roman" w:hAnsi="Times New Roman"/>
          <w:b/>
          <w:i/>
          <w:sz w:val="24"/>
          <w:szCs w:val="24"/>
        </w:rPr>
        <w:t>resolution</w:t>
      </w:r>
      <w:r w:rsidR="003F0435" w:rsidRPr="003F0435">
        <w:rPr>
          <w:rFonts w:ascii="Times New Roman" w:hAnsi="Times New Roman"/>
          <w:b/>
          <w:sz w:val="24"/>
          <w:szCs w:val="24"/>
        </w:rPr>
        <w:t xml:space="preserve"> oraz organ właściwego (</w:t>
      </w:r>
      <w:proofErr w:type="spellStart"/>
      <w:r w:rsidR="003F0435" w:rsidRPr="00F75BF4">
        <w:rPr>
          <w:rFonts w:ascii="Times New Roman" w:hAnsi="Times New Roman"/>
          <w:b/>
          <w:i/>
          <w:sz w:val="24"/>
          <w:szCs w:val="24"/>
        </w:rPr>
        <w:t>competent</w:t>
      </w:r>
      <w:proofErr w:type="spellEnd"/>
      <w:r w:rsidR="003F0435" w:rsidRPr="00F75BF4">
        <w:rPr>
          <w:rFonts w:ascii="Times New Roman" w:hAnsi="Times New Roman"/>
          <w:b/>
          <w:i/>
          <w:sz w:val="24"/>
          <w:szCs w:val="24"/>
        </w:rPr>
        <w:t xml:space="preserve"> authority</w:t>
      </w:r>
      <w:r w:rsidR="003F0435" w:rsidRPr="003F0435">
        <w:rPr>
          <w:rFonts w:ascii="Times New Roman" w:hAnsi="Times New Roman"/>
          <w:b/>
          <w:sz w:val="24"/>
          <w:szCs w:val="24"/>
        </w:rPr>
        <w:t>).</w:t>
      </w:r>
    </w:p>
    <w:p w:rsidR="00B22407" w:rsidRPr="00234F8D" w:rsidRDefault="00DB3C41" w:rsidP="002C0E32">
      <w:pPr>
        <w:pStyle w:val="Tekstpodstawowy"/>
        <w:spacing w:after="0"/>
        <w:jc w:val="both"/>
        <w:rPr>
          <w:rFonts w:ascii="Times New Roman" w:hAnsi="Times New Roman"/>
          <w:sz w:val="24"/>
          <w:szCs w:val="24"/>
        </w:rPr>
      </w:pPr>
      <w:r w:rsidRPr="00234F8D">
        <w:rPr>
          <w:rFonts w:ascii="Times New Roman" w:hAnsi="Times New Roman"/>
          <w:sz w:val="24"/>
          <w:szCs w:val="24"/>
        </w:rPr>
        <w:t>Projekt r</w:t>
      </w:r>
      <w:r w:rsidR="00D73CD3" w:rsidRPr="00234F8D">
        <w:rPr>
          <w:rFonts w:ascii="Times New Roman" w:hAnsi="Times New Roman"/>
          <w:sz w:val="24"/>
          <w:szCs w:val="24"/>
        </w:rPr>
        <w:t xml:space="preserve">ozporządzenia, w odniesieniu do sytuacji, gdy </w:t>
      </w:r>
      <w:r w:rsidR="00B22407" w:rsidRPr="00234F8D">
        <w:rPr>
          <w:rFonts w:ascii="Times New Roman" w:hAnsi="Times New Roman"/>
          <w:sz w:val="24"/>
          <w:szCs w:val="24"/>
        </w:rPr>
        <w:t xml:space="preserve">został zainicjowany już proces </w:t>
      </w:r>
      <w:r w:rsidR="00B22407" w:rsidRPr="002C0E32">
        <w:rPr>
          <w:rFonts w:ascii="Times New Roman" w:hAnsi="Times New Roman"/>
          <w:i/>
          <w:sz w:val="24"/>
          <w:szCs w:val="24"/>
        </w:rPr>
        <w:t>resolution</w:t>
      </w:r>
      <w:r w:rsidR="00B22407" w:rsidRPr="00234F8D">
        <w:rPr>
          <w:rFonts w:ascii="Times New Roman" w:hAnsi="Times New Roman"/>
          <w:sz w:val="24"/>
          <w:szCs w:val="24"/>
        </w:rPr>
        <w:t xml:space="preserve"> zakłada, że organ </w:t>
      </w:r>
      <w:r w:rsidR="00B22407" w:rsidRPr="002C0E32">
        <w:rPr>
          <w:rFonts w:ascii="Times New Roman" w:hAnsi="Times New Roman"/>
          <w:i/>
          <w:sz w:val="24"/>
          <w:szCs w:val="24"/>
        </w:rPr>
        <w:t>r</w:t>
      </w:r>
      <w:r w:rsidR="00D73CD3" w:rsidRPr="002C0E32">
        <w:rPr>
          <w:rFonts w:ascii="Times New Roman" w:hAnsi="Times New Roman"/>
          <w:i/>
          <w:sz w:val="24"/>
          <w:szCs w:val="24"/>
        </w:rPr>
        <w:t>esolution</w:t>
      </w:r>
      <w:r w:rsidR="00D73CD3" w:rsidRPr="00234F8D">
        <w:rPr>
          <w:rFonts w:ascii="Times New Roman" w:hAnsi="Times New Roman"/>
          <w:sz w:val="24"/>
          <w:szCs w:val="24"/>
        </w:rPr>
        <w:t xml:space="preserve"> podejmuje stosowne decyzje na tym etapie jedno-podmiotowo. Nie uwzględnia się </w:t>
      </w:r>
      <w:r w:rsidRPr="00234F8D">
        <w:rPr>
          <w:rFonts w:ascii="Times New Roman" w:hAnsi="Times New Roman"/>
          <w:sz w:val="24"/>
          <w:szCs w:val="24"/>
        </w:rPr>
        <w:t xml:space="preserve">przy tym </w:t>
      </w:r>
      <w:r w:rsidR="00D73CD3" w:rsidRPr="00234F8D">
        <w:rPr>
          <w:rFonts w:ascii="Times New Roman" w:hAnsi="Times New Roman"/>
          <w:sz w:val="24"/>
          <w:szCs w:val="24"/>
        </w:rPr>
        <w:t xml:space="preserve">konsultacji </w:t>
      </w:r>
      <w:r w:rsidRPr="00234F8D">
        <w:rPr>
          <w:rFonts w:ascii="Times New Roman" w:hAnsi="Times New Roman"/>
          <w:sz w:val="24"/>
          <w:szCs w:val="24"/>
        </w:rPr>
        <w:t>z innymi organami</w:t>
      </w:r>
      <w:r w:rsidR="00D73CD3" w:rsidRPr="00234F8D">
        <w:rPr>
          <w:rFonts w:ascii="Times New Roman" w:hAnsi="Times New Roman"/>
          <w:sz w:val="24"/>
          <w:szCs w:val="24"/>
        </w:rPr>
        <w:t>, w tym</w:t>
      </w:r>
      <w:r w:rsidRPr="00234F8D">
        <w:rPr>
          <w:rFonts w:ascii="Times New Roman" w:hAnsi="Times New Roman"/>
          <w:sz w:val="24"/>
          <w:szCs w:val="24"/>
        </w:rPr>
        <w:t xml:space="preserve"> z</w:t>
      </w:r>
      <w:r w:rsidR="00B22407" w:rsidRPr="00234F8D">
        <w:rPr>
          <w:rFonts w:ascii="Times New Roman" w:hAnsi="Times New Roman"/>
          <w:sz w:val="24"/>
          <w:szCs w:val="24"/>
        </w:rPr>
        <w:t xml:space="preserve"> właściwym organem (</w:t>
      </w:r>
      <w:proofErr w:type="spellStart"/>
      <w:r w:rsidR="00B22407" w:rsidRPr="00234F8D">
        <w:rPr>
          <w:rFonts w:ascii="Times New Roman" w:hAnsi="Times New Roman"/>
          <w:i/>
          <w:sz w:val="24"/>
          <w:szCs w:val="24"/>
        </w:rPr>
        <w:t>competent</w:t>
      </w:r>
      <w:proofErr w:type="spellEnd"/>
      <w:r w:rsidR="00B22407" w:rsidRPr="00234F8D">
        <w:rPr>
          <w:rFonts w:ascii="Times New Roman" w:hAnsi="Times New Roman"/>
          <w:i/>
          <w:sz w:val="24"/>
          <w:szCs w:val="24"/>
        </w:rPr>
        <w:t xml:space="preserve"> authority</w:t>
      </w:r>
      <w:r w:rsidR="00B22407" w:rsidRPr="00234F8D">
        <w:rPr>
          <w:rFonts w:ascii="Times New Roman" w:hAnsi="Times New Roman"/>
          <w:sz w:val="24"/>
          <w:szCs w:val="24"/>
        </w:rPr>
        <w:t>)</w:t>
      </w:r>
      <w:r w:rsidR="00D73CD3" w:rsidRPr="00234F8D">
        <w:rPr>
          <w:rFonts w:ascii="Times New Roman" w:hAnsi="Times New Roman"/>
          <w:sz w:val="24"/>
          <w:szCs w:val="24"/>
        </w:rPr>
        <w:t>,</w:t>
      </w:r>
      <w:r w:rsidR="00B22407" w:rsidRPr="00234F8D">
        <w:rPr>
          <w:rFonts w:ascii="Times New Roman" w:hAnsi="Times New Roman"/>
          <w:sz w:val="24"/>
          <w:szCs w:val="24"/>
        </w:rPr>
        <w:t xml:space="preserve"> czy z</w:t>
      </w:r>
      <w:r w:rsidR="00D73CD3" w:rsidRPr="00234F8D">
        <w:rPr>
          <w:rFonts w:ascii="Times New Roman" w:hAnsi="Times New Roman"/>
          <w:sz w:val="24"/>
          <w:szCs w:val="24"/>
        </w:rPr>
        <w:t xml:space="preserve"> ESMA. </w:t>
      </w:r>
      <w:r w:rsidR="00B22407" w:rsidRPr="00234F8D">
        <w:rPr>
          <w:rFonts w:ascii="Times New Roman" w:hAnsi="Times New Roman"/>
          <w:sz w:val="24"/>
          <w:szCs w:val="24"/>
        </w:rPr>
        <w:t xml:space="preserve">Oczywistym jest, </w:t>
      </w:r>
      <w:r w:rsidR="00D73CD3" w:rsidRPr="00234F8D">
        <w:rPr>
          <w:rFonts w:ascii="Times New Roman" w:hAnsi="Times New Roman"/>
          <w:sz w:val="24"/>
          <w:szCs w:val="24"/>
        </w:rPr>
        <w:t xml:space="preserve">że wówczas istotną kwestię pełni szybkość podejmowanych działań, niemniej z uwagi na wagę problemu należałoby się zastanowić nad wprowadzeniem odpowiednich kanałów komunikacji </w:t>
      </w:r>
      <w:r w:rsidR="00D73CD3" w:rsidRPr="00234F8D">
        <w:rPr>
          <w:rFonts w:ascii="Times New Roman" w:hAnsi="Times New Roman"/>
          <w:sz w:val="24"/>
          <w:szCs w:val="24"/>
        </w:rPr>
        <w:lastRenderedPageBreak/>
        <w:t>pozwalających na obustronny przepływ informacji (np. zgłoszenie zastrzeżeń, przekazanie dodatkowych informacji w kontekście planowanych działań przez</w:t>
      </w:r>
      <w:r w:rsidR="00B22407" w:rsidRPr="00234F8D">
        <w:rPr>
          <w:rFonts w:ascii="Times New Roman" w:hAnsi="Times New Roman"/>
          <w:sz w:val="24"/>
          <w:szCs w:val="24"/>
        </w:rPr>
        <w:t xml:space="preserve"> organ resolution). </w:t>
      </w:r>
    </w:p>
    <w:p w:rsidR="00D73CD3" w:rsidRPr="00234F8D" w:rsidRDefault="00B22407" w:rsidP="00F75BF4">
      <w:pPr>
        <w:pStyle w:val="Tekstpodstawowy"/>
        <w:spacing w:before="120" w:after="0"/>
        <w:jc w:val="both"/>
        <w:rPr>
          <w:rFonts w:ascii="Times New Roman" w:hAnsi="Times New Roman"/>
          <w:b/>
          <w:sz w:val="24"/>
          <w:szCs w:val="24"/>
          <w:u w:val="single"/>
        </w:rPr>
      </w:pPr>
      <w:r w:rsidRPr="00234F8D">
        <w:rPr>
          <w:rFonts w:ascii="Times New Roman" w:hAnsi="Times New Roman"/>
          <w:sz w:val="24"/>
          <w:szCs w:val="24"/>
        </w:rPr>
        <w:t xml:space="preserve">Ponadto </w:t>
      </w:r>
      <w:r w:rsidR="00DB3C41" w:rsidRPr="00234F8D">
        <w:rPr>
          <w:rFonts w:ascii="Times New Roman" w:hAnsi="Times New Roman"/>
          <w:sz w:val="24"/>
          <w:szCs w:val="24"/>
        </w:rPr>
        <w:t xml:space="preserve">w kontekście planów naprawy, </w:t>
      </w:r>
      <w:r w:rsidRPr="00234F8D">
        <w:rPr>
          <w:rFonts w:ascii="Times New Roman" w:hAnsi="Times New Roman"/>
          <w:sz w:val="24"/>
          <w:szCs w:val="24"/>
        </w:rPr>
        <w:t>w ocenie Rządu RP</w:t>
      </w:r>
      <w:r w:rsidR="002C0E32">
        <w:rPr>
          <w:rFonts w:ascii="Times New Roman" w:hAnsi="Times New Roman"/>
          <w:sz w:val="24"/>
          <w:szCs w:val="24"/>
        </w:rPr>
        <w:t>,</w:t>
      </w:r>
      <w:r w:rsidRPr="00234F8D">
        <w:rPr>
          <w:rFonts w:ascii="Times New Roman" w:hAnsi="Times New Roman"/>
          <w:sz w:val="24"/>
          <w:szCs w:val="24"/>
        </w:rPr>
        <w:t xml:space="preserve"> w</w:t>
      </w:r>
      <w:r w:rsidR="00D73CD3" w:rsidRPr="00234F8D">
        <w:rPr>
          <w:rFonts w:ascii="Times New Roman" w:hAnsi="Times New Roman"/>
          <w:sz w:val="24"/>
          <w:szCs w:val="24"/>
        </w:rPr>
        <w:t>ydaje się</w:t>
      </w:r>
      <w:r w:rsidR="003F0435">
        <w:rPr>
          <w:rFonts w:ascii="Times New Roman" w:hAnsi="Times New Roman"/>
          <w:sz w:val="24"/>
          <w:szCs w:val="24"/>
        </w:rPr>
        <w:t>,</w:t>
      </w:r>
      <w:r w:rsidR="00D73CD3" w:rsidRPr="00234F8D">
        <w:rPr>
          <w:rFonts w:ascii="Times New Roman" w:hAnsi="Times New Roman"/>
          <w:sz w:val="24"/>
          <w:szCs w:val="24"/>
        </w:rPr>
        <w:t xml:space="preserve"> że nie powinno dochodzić do sytuacji, w której jeden podmiot lub komórka organizacyjna w ramach CCP </w:t>
      </w:r>
      <w:r w:rsidRPr="00234F8D">
        <w:rPr>
          <w:rFonts w:ascii="Times New Roman" w:hAnsi="Times New Roman"/>
          <w:sz w:val="24"/>
          <w:szCs w:val="24"/>
        </w:rPr>
        <w:t>jednocześnie zarządza ryzykiem, ustala</w:t>
      </w:r>
      <w:r w:rsidR="00D73CD3" w:rsidRPr="00234F8D">
        <w:rPr>
          <w:rFonts w:ascii="Times New Roman" w:hAnsi="Times New Roman"/>
          <w:sz w:val="24"/>
          <w:szCs w:val="24"/>
        </w:rPr>
        <w:t xml:space="preserve"> posz</w:t>
      </w:r>
      <w:r w:rsidRPr="00234F8D">
        <w:rPr>
          <w:rFonts w:ascii="Times New Roman" w:hAnsi="Times New Roman"/>
          <w:sz w:val="24"/>
          <w:szCs w:val="24"/>
        </w:rPr>
        <w:t>czególne wskaźniki (</w:t>
      </w:r>
      <w:proofErr w:type="spellStart"/>
      <w:r w:rsidRPr="00234F8D">
        <w:rPr>
          <w:rFonts w:ascii="Times New Roman" w:hAnsi="Times New Roman"/>
          <w:i/>
          <w:sz w:val="24"/>
          <w:szCs w:val="24"/>
        </w:rPr>
        <w:t>indicators</w:t>
      </w:r>
      <w:proofErr w:type="spellEnd"/>
      <w:r w:rsidRPr="00234F8D">
        <w:rPr>
          <w:rFonts w:ascii="Times New Roman" w:hAnsi="Times New Roman"/>
          <w:sz w:val="24"/>
          <w:szCs w:val="24"/>
        </w:rPr>
        <w:t>), samemu monitoruje ich poziom oraz powiadamia</w:t>
      </w:r>
      <w:r w:rsidR="00D73CD3" w:rsidRPr="00234F8D">
        <w:rPr>
          <w:rFonts w:ascii="Times New Roman" w:hAnsi="Times New Roman"/>
          <w:sz w:val="24"/>
          <w:szCs w:val="24"/>
        </w:rPr>
        <w:t xml:space="preserve"> nadzór o ewentualnych </w:t>
      </w:r>
      <w:r w:rsidRPr="00234F8D">
        <w:rPr>
          <w:rFonts w:ascii="Times New Roman" w:hAnsi="Times New Roman"/>
          <w:sz w:val="24"/>
          <w:szCs w:val="24"/>
        </w:rPr>
        <w:t xml:space="preserve">ich przekroczeniach. </w:t>
      </w:r>
      <w:r w:rsidR="00DB3C41" w:rsidRPr="00234F8D">
        <w:rPr>
          <w:rFonts w:ascii="Times New Roman" w:hAnsi="Times New Roman"/>
          <w:sz w:val="24"/>
          <w:szCs w:val="24"/>
        </w:rPr>
        <w:br/>
      </w:r>
      <w:r w:rsidRPr="00234F8D">
        <w:rPr>
          <w:rFonts w:ascii="Times New Roman" w:hAnsi="Times New Roman"/>
          <w:sz w:val="24"/>
          <w:szCs w:val="24"/>
        </w:rPr>
        <w:t>W takim przypadku może nastąpić problem "pokusy nadużycia" uprawnień przez taki organ</w:t>
      </w:r>
      <w:r w:rsidR="00D73CD3" w:rsidRPr="00234F8D">
        <w:rPr>
          <w:rFonts w:ascii="Times New Roman" w:hAnsi="Times New Roman"/>
          <w:sz w:val="24"/>
          <w:szCs w:val="24"/>
        </w:rPr>
        <w:t xml:space="preserve">. Dlatego też istotne </w:t>
      </w:r>
      <w:r w:rsidRPr="00234F8D">
        <w:rPr>
          <w:rFonts w:ascii="Times New Roman" w:hAnsi="Times New Roman"/>
          <w:sz w:val="24"/>
          <w:szCs w:val="24"/>
        </w:rPr>
        <w:t xml:space="preserve">jest </w:t>
      </w:r>
      <w:r w:rsidR="00D73CD3" w:rsidRPr="00234F8D">
        <w:rPr>
          <w:rFonts w:ascii="Times New Roman" w:hAnsi="Times New Roman"/>
          <w:sz w:val="24"/>
          <w:szCs w:val="24"/>
        </w:rPr>
        <w:t>wskazanie</w:t>
      </w:r>
      <w:r w:rsidRPr="00234F8D">
        <w:rPr>
          <w:rFonts w:ascii="Times New Roman" w:hAnsi="Times New Roman"/>
          <w:sz w:val="24"/>
          <w:szCs w:val="24"/>
        </w:rPr>
        <w:t xml:space="preserve"> w </w:t>
      </w:r>
      <w:r w:rsidR="00DB3C41" w:rsidRPr="00234F8D">
        <w:rPr>
          <w:rFonts w:ascii="Times New Roman" w:hAnsi="Times New Roman"/>
          <w:sz w:val="24"/>
          <w:szCs w:val="24"/>
        </w:rPr>
        <w:t xml:space="preserve">projektowanych </w:t>
      </w:r>
      <w:r w:rsidRPr="00234F8D">
        <w:rPr>
          <w:rFonts w:ascii="Times New Roman" w:hAnsi="Times New Roman"/>
          <w:sz w:val="24"/>
          <w:szCs w:val="24"/>
        </w:rPr>
        <w:t>przepisach</w:t>
      </w:r>
      <w:r w:rsidR="00D73CD3" w:rsidRPr="00234F8D">
        <w:rPr>
          <w:rFonts w:ascii="Times New Roman" w:hAnsi="Times New Roman"/>
          <w:sz w:val="24"/>
          <w:szCs w:val="24"/>
        </w:rPr>
        <w:t xml:space="preserve">, że </w:t>
      </w:r>
      <w:r w:rsidR="00DB3C41" w:rsidRPr="00234F8D">
        <w:rPr>
          <w:rFonts w:ascii="Times New Roman" w:hAnsi="Times New Roman"/>
          <w:sz w:val="24"/>
          <w:szCs w:val="24"/>
        </w:rPr>
        <w:t xml:space="preserve">odpowiedzialna za powyższe działania będzie wydzielona w ramach organu </w:t>
      </w:r>
      <w:r w:rsidR="00DB3C41" w:rsidRPr="002C0E32">
        <w:rPr>
          <w:rFonts w:ascii="Times New Roman" w:hAnsi="Times New Roman"/>
          <w:i/>
          <w:sz w:val="24"/>
          <w:szCs w:val="24"/>
        </w:rPr>
        <w:t>resolution</w:t>
      </w:r>
      <w:r w:rsidR="00DB3C41" w:rsidRPr="00234F8D">
        <w:rPr>
          <w:rFonts w:ascii="Times New Roman" w:hAnsi="Times New Roman"/>
          <w:sz w:val="24"/>
          <w:szCs w:val="24"/>
        </w:rPr>
        <w:t xml:space="preserve"> jednostka</w:t>
      </w:r>
      <w:r w:rsidR="00D73CD3" w:rsidRPr="00234F8D">
        <w:rPr>
          <w:rFonts w:ascii="Times New Roman" w:hAnsi="Times New Roman"/>
          <w:sz w:val="24"/>
          <w:szCs w:val="24"/>
        </w:rPr>
        <w:t xml:space="preserve">, która </w:t>
      </w:r>
      <w:r w:rsidR="00DB3C41" w:rsidRPr="00234F8D">
        <w:rPr>
          <w:rFonts w:ascii="Times New Roman" w:hAnsi="Times New Roman"/>
          <w:sz w:val="24"/>
          <w:szCs w:val="24"/>
        </w:rPr>
        <w:t xml:space="preserve">posiadałaby </w:t>
      </w:r>
      <w:r w:rsidR="00D73CD3" w:rsidRPr="00234F8D">
        <w:rPr>
          <w:rFonts w:ascii="Times New Roman" w:hAnsi="Times New Roman"/>
          <w:sz w:val="24"/>
          <w:szCs w:val="24"/>
        </w:rPr>
        <w:t xml:space="preserve">niezależny dostęp do </w:t>
      </w:r>
      <w:r w:rsidRPr="00234F8D">
        <w:rPr>
          <w:rFonts w:ascii="Times New Roman" w:hAnsi="Times New Roman"/>
          <w:sz w:val="24"/>
          <w:szCs w:val="24"/>
        </w:rPr>
        <w:t xml:space="preserve">przedmiotowych </w:t>
      </w:r>
      <w:r w:rsidR="00D73CD3" w:rsidRPr="00234F8D">
        <w:rPr>
          <w:rFonts w:ascii="Times New Roman" w:hAnsi="Times New Roman"/>
          <w:sz w:val="24"/>
          <w:szCs w:val="24"/>
        </w:rPr>
        <w:t xml:space="preserve">danych. </w:t>
      </w:r>
    </w:p>
    <w:p w:rsidR="00C94766" w:rsidRDefault="00C94766" w:rsidP="004961B5">
      <w:pPr>
        <w:pStyle w:val="Tekstpodstawowy"/>
        <w:spacing w:after="0" w:line="240" w:lineRule="auto"/>
        <w:rPr>
          <w:rFonts w:ascii="Times New Roman" w:hAnsi="Times New Roman"/>
          <w:sz w:val="24"/>
        </w:rPr>
      </w:pPr>
    </w:p>
    <w:p w:rsidR="003F0435" w:rsidRPr="00F75BF4" w:rsidRDefault="003F0435" w:rsidP="004961B5">
      <w:pPr>
        <w:pStyle w:val="Tekstpodstawowy"/>
        <w:spacing w:after="0" w:line="240" w:lineRule="auto"/>
        <w:rPr>
          <w:rFonts w:ascii="Times New Roman" w:hAnsi="Times New Roman"/>
          <w:b/>
          <w:sz w:val="24"/>
          <w:u w:val="single"/>
        </w:rPr>
      </w:pPr>
      <w:r w:rsidRPr="00F75BF4">
        <w:rPr>
          <w:rFonts w:ascii="Times New Roman" w:hAnsi="Times New Roman"/>
          <w:b/>
          <w:sz w:val="24"/>
          <w:u w:val="single"/>
        </w:rPr>
        <w:t>Ocena skutków regulacji.</w:t>
      </w:r>
    </w:p>
    <w:p w:rsidR="003F0435" w:rsidRPr="00234F8D" w:rsidRDefault="003F0435" w:rsidP="004961B5">
      <w:pPr>
        <w:pStyle w:val="Tekstpodstawowy"/>
        <w:spacing w:after="0" w:line="240" w:lineRule="auto"/>
        <w:rPr>
          <w:rFonts w:ascii="Times New Roman" w:hAnsi="Times New Roman"/>
          <w:sz w:val="24"/>
        </w:rPr>
      </w:pPr>
    </w:p>
    <w:p w:rsidR="004961B5" w:rsidRPr="00234F8D" w:rsidRDefault="004961B5" w:rsidP="004961B5">
      <w:pPr>
        <w:pStyle w:val="Tekstpodstawowy"/>
        <w:numPr>
          <w:ilvl w:val="0"/>
          <w:numId w:val="2"/>
        </w:numPr>
        <w:spacing w:after="0" w:line="240" w:lineRule="auto"/>
        <w:jc w:val="both"/>
        <w:rPr>
          <w:rFonts w:ascii="Times New Roman" w:hAnsi="Times New Roman"/>
          <w:b/>
          <w:sz w:val="24"/>
        </w:rPr>
      </w:pPr>
      <w:r w:rsidRPr="00234F8D">
        <w:rPr>
          <w:rFonts w:ascii="Times New Roman" w:hAnsi="Times New Roman"/>
          <w:b/>
          <w:sz w:val="24"/>
        </w:rPr>
        <w:t xml:space="preserve">Ocena skutków prawnych </w:t>
      </w:r>
    </w:p>
    <w:p w:rsidR="00F25F72" w:rsidRPr="00234F8D" w:rsidRDefault="00D624E3" w:rsidP="00F25F72">
      <w:pPr>
        <w:pStyle w:val="Tekstpodstawowy"/>
        <w:spacing w:after="0"/>
        <w:jc w:val="both"/>
        <w:rPr>
          <w:rFonts w:ascii="Times New Roman" w:hAnsi="Times New Roman"/>
          <w:sz w:val="24"/>
          <w:szCs w:val="24"/>
        </w:rPr>
      </w:pPr>
      <w:r w:rsidRPr="00234F8D">
        <w:rPr>
          <w:rFonts w:ascii="Times New Roman" w:hAnsi="Times New Roman"/>
          <w:sz w:val="24"/>
          <w:szCs w:val="24"/>
        </w:rPr>
        <w:t>Rozporządzenie Parlamentu Europejskiego i Rady w sprawie ram na potrzeby prowadzenia działań naprawczych oraz restrukturyzacji i uporządkowanej likwidacji w odniesieniu do kontrahentów centralnych oraz zmieniające rozporządzenia (UE) nr 1095/2010, (UE) nr 648/2012 i (UE</w:t>
      </w:r>
      <w:r w:rsidR="00DA30AB" w:rsidRPr="00234F8D">
        <w:rPr>
          <w:rFonts w:ascii="Times New Roman" w:hAnsi="Times New Roman"/>
          <w:sz w:val="24"/>
          <w:szCs w:val="24"/>
        </w:rPr>
        <w:t xml:space="preserve">) 2015/2365 będzie </w:t>
      </w:r>
      <w:r w:rsidR="00F25F72" w:rsidRPr="00234F8D">
        <w:rPr>
          <w:rFonts w:ascii="Times New Roman" w:hAnsi="Times New Roman"/>
          <w:sz w:val="24"/>
          <w:szCs w:val="24"/>
        </w:rPr>
        <w:t>obowiązywać bezpośrednio i w związku z tym nie będzie wymagać formalnej transpozycji do polskiego porządku prawnego. Niemniej, w zależności od ostatecznie przyjętego brzmienia przepisów, może okazać się konieczne wprowadzanie zmian dostosowujących prawo krajowe do przedmiotowego rozporządzenia.</w:t>
      </w:r>
    </w:p>
    <w:p w:rsidR="004961B5" w:rsidRPr="00234F8D" w:rsidRDefault="004961B5" w:rsidP="004961B5">
      <w:pPr>
        <w:pStyle w:val="Tekstpodstawowy"/>
        <w:spacing w:after="0" w:line="240" w:lineRule="auto"/>
        <w:rPr>
          <w:rFonts w:ascii="Times New Roman" w:hAnsi="Times New Roman"/>
          <w:sz w:val="24"/>
        </w:rPr>
      </w:pPr>
    </w:p>
    <w:p w:rsidR="004961B5" w:rsidRPr="00234F8D" w:rsidRDefault="004961B5" w:rsidP="004961B5">
      <w:pPr>
        <w:pStyle w:val="Tekstpodstawowy"/>
        <w:numPr>
          <w:ilvl w:val="0"/>
          <w:numId w:val="2"/>
        </w:numPr>
        <w:spacing w:after="0" w:line="240" w:lineRule="auto"/>
        <w:jc w:val="both"/>
        <w:rPr>
          <w:rFonts w:ascii="Times New Roman" w:hAnsi="Times New Roman"/>
          <w:b/>
          <w:sz w:val="24"/>
        </w:rPr>
      </w:pPr>
      <w:r w:rsidRPr="00234F8D">
        <w:rPr>
          <w:rFonts w:ascii="Times New Roman" w:hAnsi="Times New Roman"/>
          <w:b/>
          <w:sz w:val="24"/>
        </w:rPr>
        <w:t xml:space="preserve">Ocena skutków społecznych </w:t>
      </w:r>
    </w:p>
    <w:p w:rsidR="006D49F5" w:rsidRPr="00234F8D" w:rsidRDefault="00A76B8E" w:rsidP="002C0E32">
      <w:pPr>
        <w:pStyle w:val="Tekstpodstawowy"/>
        <w:spacing w:after="0"/>
        <w:jc w:val="both"/>
        <w:rPr>
          <w:rFonts w:ascii="Times New Roman" w:hAnsi="Times New Roman"/>
          <w:sz w:val="24"/>
          <w:szCs w:val="24"/>
        </w:rPr>
      </w:pPr>
      <w:r w:rsidRPr="00234F8D">
        <w:rPr>
          <w:rFonts w:ascii="Times New Roman" w:hAnsi="Times New Roman"/>
          <w:sz w:val="24"/>
          <w:szCs w:val="24"/>
        </w:rPr>
        <w:t>W konsekwencji stosowania środków n</w:t>
      </w:r>
      <w:r w:rsidR="008F389D" w:rsidRPr="00234F8D">
        <w:rPr>
          <w:rFonts w:ascii="Times New Roman" w:hAnsi="Times New Roman"/>
          <w:sz w:val="24"/>
          <w:szCs w:val="24"/>
        </w:rPr>
        <w:t>apraw</w:t>
      </w:r>
      <w:r w:rsidR="003F0435">
        <w:rPr>
          <w:rFonts w:ascii="Times New Roman" w:hAnsi="Times New Roman"/>
          <w:sz w:val="24"/>
          <w:szCs w:val="24"/>
        </w:rPr>
        <w:t>y,</w:t>
      </w:r>
      <w:r w:rsidR="008F389D" w:rsidRPr="00234F8D">
        <w:rPr>
          <w:rFonts w:ascii="Times New Roman" w:hAnsi="Times New Roman"/>
          <w:sz w:val="24"/>
          <w:szCs w:val="24"/>
        </w:rPr>
        <w:t xml:space="preserve"> restrukturyzacj</w:t>
      </w:r>
      <w:r w:rsidR="003F0435">
        <w:rPr>
          <w:rFonts w:ascii="Times New Roman" w:hAnsi="Times New Roman"/>
          <w:sz w:val="24"/>
          <w:szCs w:val="24"/>
        </w:rPr>
        <w:t>i</w:t>
      </w:r>
      <w:r w:rsidR="008F389D" w:rsidRPr="00234F8D">
        <w:rPr>
          <w:rFonts w:ascii="Times New Roman" w:hAnsi="Times New Roman"/>
          <w:sz w:val="24"/>
          <w:szCs w:val="24"/>
        </w:rPr>
        <w:t xml:space="preserve"> i uporządk</w:t>
      </w:r>
      <w:r w:rsidR="006D49F5" w:rsidRPr="00234F8D">
        <w:rPr>
          <w:rFonts w:ascii="Times New Roman" w:hAnsi="Times New Roman"/>
          <w:sz w:val="24"/>
          <w:szCs w:val="24"/>
        </w:rPr>
        <w:t>owan</w:t>
      </w:r>
      <w:r w:rsidR="003F0435">
        <w:rPr>
          <w:rFonts w:ascii="Times New Roman" w:hAnsi="Times New Roman"/>
          <w:sz w:val="24"/>
          <w:szCs w:val="24"/>
        </w:rPr>
        <w:t>ej</w:t>
      </w:r>
      <w:r w:rsidR="006D49F5" w:rsidRPr="00234F8D">
        <w:rPr>
          <w:rFonts w:ascii="Times New Roman" w:hAnsi="Times New Roman"/>
          <w:sz w:val="24"/>
          <w:szCs w:val="24"/>
        </w:rPr>
        <w:t xml:space="preserve"> likwidacj</w:t>
      </w:r>
      <w:r w:rsidR="003F0435">
        <w:rPr>
          <w:rFonts w:ascii="Times New Roman" w:hAnsi="Times New Roman"/>
          <w:sz w:val="24"/>
          <w:szCs w:val="24"/>
        </w:rPr>
        <w:t>i</w:t>
      </w:r>
      <w:r w:rsidR="006D49F5" w:rsidRPr="00234F8D">
        <w:rPr>
          <w:rFonts w:ascii="Times New Roman" w:hAnsi="Times New Roman"/>
          <w:sz w:val="24"/>
          <w:szCs w:val="24"/>
        </w:rPr>
        <w:t xml:space="preserve"> przewidzianych w projektowanym rozporządzeniu</w:t>
      </w:r>
      <w:r w:rsidR="008F389D" w:rsidRPr="00234F8D">
        <w:rPr>
          <w:rFonts w:ascii="Times New Roman" w:hAnsi="Times New Roman"/>
          <w:sz w:val="24"/>
          <w:szCs w:val="24"/>
        </w:rPr>
        <w:t xml:space="preserve">, </w:t>
      </w:r>
      <w:r w:rsidR="006D49F5" w:rsidRPr="00234F8D">
        <w:rPr>
          <w:rFonts w:ascii="Times New Roman" w:hAnsi="Times New Roman"/>
          <w:sz w:val="24"/>
          <w:szCs w:val="24"/>
        </w:rPr>
        <w:t>przyczyniających się do ochrony</w:t>
      </w:r>
      <w:r w:rsidR="008F389D" w:rsidRPr="00234F8D">
        <w:rPr>
          <w:rFonts w:ascii="Times New Roman" w:hAnsi="Times New Roman"/>
          <w:sz w:val="24"/>
          <w:szCs w:val="24"/>
        </w:rPr>
        <w:t xml:space="preserve"> sta</w:t>
      </w:r>
      <w:r w:rsidR="006D49F5" w:rsidRPr="00234F8D">
        <w:rPr>
          <w:rFonts w:ascii="Times New Roman" w:hAnsi="Times New Roman"/>
          <w:sz w:val="24"/>
          <w:szCs w:val="24"/>
        </w:rPr>
        <w:t>bilności finansowej oraz zapewnienia</w:t>
      </w:r>
      <w:r w:rsidR="008F389D" w:rsidRPr="00234F8D">
        <w:rPr>
          <w:rFonts w:ascii="Times New Roman" w:hAnsi="Times New Roman"/>
          <w:sz w:val="24"/>
          <w:szCs w:val="24"/>
        </w:rPr>
        <w:t xml:space="preserve"> ciągłości funkcji krytycznych</w:t>
      </w:r>
      <w:r w:rsidR="006D49F5" w:rsidRPr="00234F8D">
        <w:rPr>
          <w:rFonts w:ascii="Times New Roman" w:hAnsi="Times New Roman"/>
          <w:sz w:val="24"/>
          <w:szCs w:val="24"/>
        </w:rPr>
        <w:t xml:space="preserve"> CCP</w:t>
      </w:r>
      <w:r w:rsidR="008F389D" w:rsidRPr="00234F8D">
        <w:rPr>
          <w:rFonts w:ascii="Times New Roman" w:hAnsi="Times New Roman"/>
          <w:sz w:val="24"/>
          <w:szCs w:val="24"/>
        </w:rPr>
        <w:t xml:space="preserve">, </w:t>
      </w:r>
      <w:r w:rsidR="006D49F5" w:rsidRPr="00234F8D">
        <w:rPr>
          <w:rFonts w:ascii="Times New Roman" w:hAnsi="Times New Roman"/>
          <w:sz w:val="24"/>
          <w:szCs w:val="24"/>
        </w:rPr>
        <w:t xml:space="preserve">zostanie zapewniona ochrona </w:t>
      </w:r>
      <w:r w:rsidR="008F389D" w:rsidRPr="00234F8D">
        <w:rPr>
          <w:rFonts w:ascii="Times New Roman" w:hAnsi="Times New Roman"/>
          <w:sz w:val="24"/>
          <w:szCs w:val="24"/>
        </w:rPr>
        <w:t xml:space="preserve">podatników w przypadku trudnej sytuacji finansowej lub upadłości instytucji, która zmaga </w:t>
      </w:r>
      <w:r w:rsidR="002C0E32">
        <w:rPr>
          <w:rFonts w:ascii="Times New Roman" w:hAnsi="Times New Roman"/>
          <w:sz w:val="24"/>
          <w:szCs w:val="24"/>
        </w:rPr>
        <w:t xml:space="preserve">się z trudnościami finansowymi. </w:t>
      </w:r>
      <w:r w:rsidR="008F389D" w:rsidRPr="00234F8D">
        <w:rPr>
          <w:rFonts w:ascii="Times New Roman" w:hAnsi="Times New Roman"/>
          <w:sz w:val="24"/>
          <w:szCs w:val="24"/>
        </w:rPr>
        <w:t xml:space="preserve">W związku z tym wspomniane środki mają w założeniu chronić istotne funkcje krytyczne bez narażania podatników na straty w celu zachowania zdolności systemu finansowego do finansowania wzrostu gospodarczego oraz w celu uniknięcia społeczno-gospodarczych kosztów krachu finansowego. </w:t>
      </w:r>
    </w:p>
    <w:p w:rsidR="008E0831" w:rsidRPr="00234F8D" w:rsidRDefault="008F389D" w:rsidP="002C0E32">
      <w:pPr>
        <w:pStyle w:val="Tekstpodstawowy"/>
        <w:spacing w:after="0"/>
        <w:jc w:val="both"/>
        <w:rPr>
          <w:rFonts w:ascii="Times New Roman" w:hAnsi="Times New Roman"/>
          <w:b/>
          <w:sz w:val="24"/>
        </w:rPr>
      </w:pPr>
      <w:r w:rsidRPr="00234F8D">
        <w:rPr>
          <w:rFonts w:ascii="Times New Roman" w:hAnsi="Times New Roman"/>
          <w:sz w:val="24"/>
          <w:szCs w:val="24"/>
        </w:rPr>
        <w:t>W rezultacie w</w:t>
      </w:r>
      <w:r w:rsidR="008E0831" w:rsidRPr="00234F8D">
        <w:rPr>
          <w:rFonts w:ascii="Times New Roman" w:hAnsi="Times New Roman"/>
          <w:sz w:val="24"/>
          <w:szCs w:val="24"/>
        </w:rPr>
        <w:t xml:space="preserve">ejście w życie procedowanego rozporządzenia </w:t>
      </w:r>
      <w:r w:rsidR="002C0E32">
        <w:rPr>
          <w:rFonts w:ascii="Times New Roman" w:hAnsi="Times New Roman"/>
          <w:sz w:val="24"/>
          <w:szCs w:val="24"/>
        </w:rPr>
        <w:t xml:space="preserve">przyczyni się do </w:t>
      </w:r>
      <w:r w:rsidR="00481030" w:rsidRPr="00234F8D">
        <w:rPr>
          <w:rFonts w:ascii="Times New Roman" w:hAnsi="Times New Roman"/>
          <w:sz w:val="24"/>
          <w:szCs w:val="24"/>
        </w:rPr>
        <w:t>wzrost</w:t>
      </w:r>
      <w:r w:rsidRPr="00234F8D">
        <w:rPr>
          <w:rFonts w:ascii="Times New Roman" w:hAnsi="Times New Roman"/>
          <w:sz w:val="24"/>
          <w:szCs w:val="24"/>
        </w:rPr>
        <w:t xml:space="preserve">u zaufania </w:t>
      </w:r>
      <w:r w:rsidR="006D49F5" w:rsidRPr="00234F8D">
        <w:rPr>
          <w:rFonts w:ascii="Times New Roman" w:hAnsi="Times New Roman"/>
          <w:sz w:val="24"/>
          <w:szCs w:val="24"/>
        </w:rPr>
        <w:t xml:space="preserve">społecznego do CCP oraz </w:t>
      </w:r>
      <w:r w:rsidRPr="00234F8D">
        <w:rPr>
          <w:rFonts w:ascii="Times New Roman" w:hAnsi="Times New Roman"/>
          <w:sz w:val="24"/>
          <w:szCs w:val="24"/>
        </w:rPr>
        <w:t>do rynku finansowego, jako całości.</w:t>
      </w:r>
    </w:p>
    <w:p w:rsidR="004961B5" w:rsidRPr="00234F8D" w:rsidRDefault="004961B5" w:rsidP="002C0E32">
      <w:pPr>
        <w:pStyle w:val="Tekstpodstawowy"/>
        <w:spacing w:after="0"/>
        <w:rPr>
          <w:rFonts w:ascii="Times New Roman" w:hAnsi="Times New Roman"/>
          <w:b/>
          <w:sz w:val="24"/>
        </w:rPr>
      </w:pPr>
    </w:p>
    <w:p w:rsidR="004961B5" w:rsidRDefault="004961B5" w:rsidP="004961B5">
      <w:pPr>
        <w:pStyle w:val="Tekstpodstawowy"/>
        <w:numPr>
          <w:ilvl w:val="0"/>
          <w:numId w:val="2"/>
        </w:numPr>
        <w:spacing w:after="0" w:line="240" w:lineRule="auto"/>
        <w:jc w:val="both"/>
        <w:rPr>
          <w:rFonts w:ascii="Times New Roman" w:hAnsi="Times New Roman"/>
          <w:b/>
          <w:sz w:val="24"/>
        </w:rPr>
      </w:pPr>
      <w:r w:rsidRPr="00234F8D">
        <w:rPr>
          <w:rFonts w:ascii="Times New Roman" w:hAnsi="Times New Roman"/>
          <w:b/>
          <w:sz w:val="24"/>
        </w:rPr>
        <w:t xml:space="preserve">Ocena skutków gospodarczych </w:t>
      </w:r>
    </w:p>
    <w:p w:rsidR="008F389D" w:rsidRPr="00234F8D" w:rsidRDefault="008F389D" w:rsidP="002C0E32">
      <w:pPr>
        <w:pStyle w:val="Tekstpodstawowy"/>
        <w:spacing w:after="0"/>
        <w:jc w:val="both"/>
        <w:rPr>
          <w:rFonts w:ascii="Times New Roman" w:hAnsi="Times New Roman"/>
          <w:sz w:val="24"/>
        </w:rPr>
      </w:pPr>
      <w:r w:rsidRPr="00234F8D">
        <w:rPr>
          <w:rFonts w:ascii="Times New Roman" w:hAnsi="Times New Roman"/>
          <w:sz w:val="24"/>
        </w:rPr>
        <w:t xml:space="preserve">Z uwagi na fakt, iż CCP </w:t>
      </w:r>
      <w:r w:rsidR="00A76B8E" w:rsidRPr="00234F8D">
        <w:rPr>
          <w:rFonts w:ascii="Times New Roman" w:hAnsi="Times New Roman"/>
          <w:sz w:val="24"/>
        </w:rPr>
        <w:t xml:space="preserve">posiadają centralną rolę i coraz większe znaczenie na rynkach finansowych, będąc w UE instytucjami o znaczeniu systemowym, wpływ ich ewentualnej </w:t>
      </w:r>
      <w:r w:rsidR="002C0E32">
        <w:rPr>
          <w:rFonts w:ascii="Times New Roman" w:hAnsi="Times New Roman"/>
          <w:sz w:val="24"/>
        </w:rPr>
        <w:t xml:space="preserve">upadłości </w:t>
      </w:r>
      <w:r w:rsidR="00A76B8E" w:rsidRPr="00234F8D">
        <w:rPr>
          <w:rFonts w:ascii="Times New Roman" w:hAnsi="Times New Roman"/>
          <w:sz w:val="24"/>
        </w:rPr>
        <w:t>lub innego rodzaju</w:t>
      </w:r>
      <w:r w:rsidR="002C0E32">
        <w:rPr>
          <w:rFonts w:ascii="Times New Roman" w:hAnsi="Times New Roman"/>
          <w:sz w:val="24"/>
        </w:rPr>
        <w:t>,</w:t>
      </w:r>
      <w:r w:rsidR="00A76B8E" w:rsidRPr="00234F8D">
        <w:rPr>
          <w:rFonts w:ascii="Times New Roman" w:hAnsi="Times New Roman"/>
          <w:sz w:val="24"/>
        </w:rPr>
        <w:t xml:space="preserve"> nawet przejściowych problemów</w:t>
      </w:r>
      <w:r w:rsidR="002C0E32">
        <w:rPr>
          <w:rFonts w:ascii="Times New Roman" w:hAnsi="Times New Roman"/>
          <w:sz w:val="24"/>
        </w:rPr>
        <w:t xml:space="preserve"> finansowych,</w:t>
      </w:r>
      <w:r w:rsidR="00A76B8E" w:rsidRPr="00234F8D">
        <w:rPr>
          <w:rFonts w:ascii="Times New Roman" w:hAnsi="Times New Roman"/>
          <w:sz w:val="24"/>
        </w:rPr>
        <w:t xml:space="preserve"> mógłby spowodować </w:t>
      </w:r>
      <w:r w:rsidR="002C0E32">
        <w:rPr>
          <w:rFonts w:ascii="Times New Roman" w:hAnsi="Times New Roman"/>
          <w:sz w:val="24"/>
        </w:rPr>
        <w:t xml:space="preserve">znaczne </w:t>
      </w:r>
      <w:r w:rsidR="00A76B8E" w:rsidRPr="00234F8D">
        <w:rPr>
          <w:rFonts w:ascii="Times New Roman" w:hAnsi="Times New Roman"/>
          <w:sz w:val="24"/>
        </w:rPr>
        <w:t>szkody w</w:t>
      </w:r>
      <w:r w:rsidR="002C0E32">
        <w:rPr>
          <w:rFonts w:ascii="Times New Roman" w:hAnsi="Times New Roman"/>
          <w:sz w:val="24"/>
        </w:rPr>
        <w:t xml:space="preserve"> funkcjonowaniu gospodarki.</w:t>
      </w:r>
      <w:r w:rsidR="00A53AD8">
        <w:rPr>
          <w:rFonts w:ascii="Times New Roman" w:hAnsi="Times New Roman"/>
          <w:sz w:val="24"/>
        </w:rPr>
        <w:t xml:space="preserve"> W związku z powyższym uznaje się, że skutkiem zastosowania środków przewidzianych w projekcie będzie ochrona realnej gospodarki przed negatywnymi konsekwencjami ewentualnej upadłości tak istotnych instytucji jakimi są CCP.</w:t>
      </w:r>
    </w:p>
    <w:p w:rsidR="004961B5" w:rsidRPr="00234F8D" w:rsidRDefault="004961B5" w:rsidP="004961B5">
      <w:pPr>
        <w:pStyle w:val="Tekstpodstawowy"/>
        <w:spacing w:after="0" w:line="240" w:lineRule="auto"/>
        <w:rPr>
          <w:rFonts w:ascii="Times New Roman" w:hAnsi="Times New Roman"/>
          <w:b/>
          <w:sz w:val="24"/>
        </w:rPr>
      </w:pPr>
    </w:p>
    <w:p w:rsidR="004961B5" w:rsidRDefault="004961B5" w:rsidP="004961B5">
      <w:pPr>
        <w:pStyle w:val="Tekstpodstawowy"/>
        <w:numPr>
          <w:ilvl w:val="0"/>
          <w:numId w:val="2"/>
        </w:numPr>
        <w:spacing w:after="0" w:line="240" w:lineRule="auto"/>
        <w:jc w:val="both"/>
        <w:rPr>
          <w:rFonts w:ascii="Times New Roman" w:hAnsi="Times New Roman"/>
          <w:b/>
          <w:sz w:val="24"/>
        </w:rPr>
      </w:pPr>
      <w:r w:rsidRPr="00234F8D">
        <w:rPr>
          <w:rFonts w:ascii="Times New Roman" w:hAnsi="Times New Roman"/>
          <w:b/>
          <w:sz w:val="24"/>
        </w:rPr>
        <w:t xml:space="preserve">Ocena skutków finansowych </w:t>
      </w:r>
    </w:p>
    <w:p w:rsidR="00481030" w:rsidRPr="00234F8D" w:rsidRDefault="00A53AD8" w:rsidP="00A53AD8">
      <w:pPr>
        <w:spacing w:after="120"/>
        <w:jc w:val="both"/>
        <w:rPr>
          <w:rFonts w:ascii="Times New Roman" w:hAnsi="Times New Roman"/>
          <w:sz w:val="24"/>
          <w:szCs w:val="24"/>
        </w:rPr>
      </w:pPr>
      <w:r>
        <w:rPr>
          <w:rFonts w:ascii="Times New Roman" w:hAnsi="Times New Roman"/>
          <w:sz w:val="24"/>
          <w:szCs w:val="24"/>
        </w:rPr>
        <w:lastRenderedPageBreak/>
        <w:t>Przyjęcie projektu</w:t>
      </w:r>
      <w:r w:rsidR="00481030" w:rsidRPr="00234F8D">
        <w:rPr>
          <w:rFonts w:ascii="Times New Roman" w:hAnsi="Times New Roman"/>
          <w:sz w:val="24"/>
          <w:szCs w:val="24"/>
        </w:rPr>
        <w:t xml:space="preserve"> będzie wiązać się z obowiązkiem państwa członkowskiego do wyznaczenia organu przymusowej restrukturyzacji dla CCP</w:t>
      </w:r>
      <w:r>
        <w:rPr>
          <w:rFonts w:ascii="Times New Roman" w:hAnsi="Times New Roman"/>
          <w:sz w:val="24"/>
          <w:szCs w:val="24"/>
        </w:rPr>
        <w:t xml:space="preserve"> (organu </w:t>
      </w:r>
      <w:r w:rsidRPr="00A53AD8">
        <w:rPr>
          <w:rFonts w:ascii="Times New Roman" w:hAnsi="Times New Roman"/>
          <w:i/>
          <w:sz w:val="24"/>
          <w:szCs w:val="24"/>
        </w:rPr>
        <w:t>resolution</w:t>
      </w:r>
      <w:r>
        <w:rPr>
          <w:rFonts w:ascii="Times New Roman" w:hAnsi="Times New Roman"/>
          <w:sz w:val="24"/>
          <w:szCs w:val="24"/>
        </w:rPr>
        <w:t>)</w:t>
      </w:r>
      <w:r w:rsidR="00481030" w:rsidRPr="00234F8D">
        <w:rPr>
          <w:rFonts w:ascii="Times New Roman" w:hAnsi="Times New Roman"/>
          <w:sz w:val="24"/>
          <w:szCs w:val="24"/>
        </w:rPr>
        <w:t xml:space="preserve">, niemniej przyjmuje się, iż z uwagi na fakt, że w Polsce funkcjonuje </w:t>
      </w:r>
      <w:r w:rsidR="00F52BDC" w:rsidRPr="00234F8D">
        <w:rPr>
          <w:rFonts w:ascii="Times New Roman" w:hAnsi="Times New Roman"/>
          <w:sz w:val="24"/>
          <w:szCs w:val="24"/>
        </w:rPr>
        <w:t xml:space="preserve">tylko </w:t>
      </w:r>
      <w:r>
        <w:rPr>
          <w:rFonts w:ascii="Times New Roman" w:hAnsi="Times New Roman"/>
          <w:sz w:val="24"/>
          <w:szCs w:val="24"/>
        </w:rPr>
        <w:t xml:space="preserve">jedno CCP </w:t>
      </w:r>
      <w:r w:rsidR="00F52BDC" w:rsidRPr="00234F8D">
        <w:rPr>
          <w:rFonts w:ascii="Times New Roman" w:hAnsi="Times New Roman"/>
          <w:sz w:val="24"/>
          <w:szCs w:val="24"/>
        </w:rPr>
        <w:t xml:space="preserve"> </w:t>
      </w:r>
      <w:r>
        <w:rPr>
          <w:rFonts w:ascii="Times New Roman" w:hAnsi="Times New Roman"/>
          <w:sz w:val="24"/>
          <w:szCs w:val="24"/>
        </w:rPr>
        <w:t>(</w:t>
      </w:r>
      <w:r w:rsidR="00F52BDC" w:rsidRPr="00234F8D">
        <w:rPr>
          <w:rFonts w:ascii="Times New Roman" w:hAnsi="Times New Roman"/>
          <w:sz w:val="24"/>
          <w:szCs w:val="24"/>
        </w:rPr>
        <w:t>KDPW_CCP S.A.) organ wyznaczony do tego celu będzie w stanie wykonywać nowo powierzone zadania w ramach obecnych zasobów kadrowych.</w:t>
      </w:r>
    </w:p>
    <w:p w:rsidR="004509AD" w:rsidRPr="00234F8D" w:rsidRDefault="00F52BDC" w:rsidP="00A53AD8">
      <w:pPr>
        <w:spacing w:after="120"/>
        <w:jc w:val="both"/>
        <w:rPr>
          <w:rFonts w:ascii="Times New Roman" w:hAnsi="Times New Roman"/>
          <w:sz w:val="24"/>
          <w:szCs w:val="24"/>
        </w:rPr>
      </w:pPr>
      <w:r w:rsidRPr="00234F8D">
        <w:rPr>
          <w:rFonts w:ascii="Times New Roman" w:hAnsi="Times New Roman"/>
          <w:sz w:val="24"/>
          <w:szCs w:val="24"/>
        </w:rPr>
        <w:t>W związku z powyższym przyjmuje się, iż p</w:t>
      </w:r>
      <w:r w:rsidR="004509AD" w:rsidRPr="00234F8D">
        <w:rPr>
          <w:rFonts w:ascii="Times New Roman" w:hAnsi="Times New Roman"/>
          <w:sz w:val="24"/>
          <w:szCs w:val="24"/>
        </w:rPr>
        <w:t>rojektowana regulacja nie będzie wywierała skutku na sektor finansów publicznych, w tym budżet państwa.</w:t>
      </w:r>
      <w:r w:rsidR="00F90D90" w:rsidRPr="00234F8D">
        <w:rPr>
          <w:rFonts w:ascii="Times New Roman" w:hAnsi="Times New Roman"/>
          <w:sz w:val="24"/>
          <w:szCs w:val="24"/>
        </w:rPr>
        <w:t xml:space="preserve"> </w:t>
      </w:r>
    </w:p>
    <w:p w:rsidR="007412BD" w:rsidRPr="00234F8D" w:rsidRDefault="007412BD" w:rsidP="007412BD">
      <w:pPr>
        <w:spacing w:after="120"/>
        <w:jc w:val="both"/>
        <w:rPr>
          <w:rFonts w:ascii="Times New Roman" w:hAnsi="Times New Roman"/>
          <w:sz w:val="24"/>
          <w:szCs w:val="24"/>
        </w:rPr>
      </w:pPr>
    </w:p>
    <w:p w:rsidR="00CC2F0C" w:rsidRDefault="007412BD" w:rsidP="00CC2F0C">
      <w:pPr>
        <w:spacing w:after="0"/>
        <w:jc w:val="both"/>
        <w:rPr>
          <w:rFonts w:ascii="Times New Roman" w:hAnsi="Times New Roman"/>
          <w:sz w:val="24"/>
          <w:szCs w:val="24"/>
        </w:rPr>
      </w:pPr>
      <w:r w:rsidRPr="004509AD">
        <w:rPr>
          <w:rFonts w:ascii="Times New Roman" w:hAnsi="Times New Roman"/>
          <w:sz w:val="24"/>
          <w:szCs w:val="24"/>
        </w:rPr>
        <w:t>Mając na względzie zapisy art. 19 ustawy z dnia 23 maja 1991 r. o związkach zawodowych (Dz.U. z 2001 r. Nr 79, poz. 854) oraz art. 16 ustawy z dnia 23 maja 1991 r. o organizacjach pracodawców (Dz.U. Nr 55, poz. 235), w związku z ww. projektem stanowiska Rządu przeprowadzono konsultacje społeczne ze związkami zawodowymi i organizacjami pracodawców. Przeprowadzono również konsultacje z innymi partnerami i organizacjami społecznymi.</w:t>
      </w:r>
      <w:r w:rsidR="00A53AD8">
        <w:rPr>
          <w:rFonts w:ascii="Times New Roman" w:hAnsi="Times New Roman"/>
          <w:sz w:val="24"/>
          <w:szCs w:val="24"/>
        </w:rPr>
        <w:t xml:space="preserve"> </w:t>
      </w:r>
    </w:p>
    <w:p w:rsidR="007412BD" w:rsidRPr="004509AD" w:rsidRDefault="007412BD" w:rsidP="00CC2F0C">
      <w:pPr>
        <w:spacing w:after="0"/>
        <w:jc w:val="both"/>
        <w:rPr>
          <w:rFonts w:ascii="Times New Roman" w:hAnsi="Times New Roman"/>
          <w:sz w:val="24"/>
          <w:szCs w:val="24"/>
        </w:rPr>
      </w:pPr>
      <w:r w:rsidRPr="004509AD">
        <w:rPr>
          <w:rFonts w:ascii="Times New Roman" w:hAnsi="Times New Roman"/>
          <w:sz w:val="24"/>
          <w:szCs w:val="24"/>
        </w:rPr>
        <w:t>W ramach powyższych konsultacji swoje opinie przekazały: Urząd Komisji Nadzoru Finansowego, Narodowy Bank Polski,</w:t>
      </w:r>
      <w:r>
        <w:rPr>
          <w:rFonts w:ascii="Times New Roman" w:hAnsi="Times New Roman"/>
          <w:sz w:val="24"/>
          <w:szCs w:val="24"/>
        </w:rPr>
        <w:t xml:space="preserve"> Krajowy Depozyt Papierów Wartościowych oraz Bankowy Fundusz Gwarancyjny.</w:t>
      </w:r>
      <w:r w:rsidRPr="004509AD">
        <w:rPr>
          <w:rFonts w:ascii="Times New Roman" w:hAnsi="Times New Roman"/>
          <w:sz w:val="24"/>
          <w:szCs w:val="24"/>
        </w:rPr>
        <w:t xml:space="preserve"> </w:t>
      </w:r>
      <w:r>
        <w:rPr>
          <w:rFonts w:ascii="Times New Roman" w:hAnsi="Times New Roman"/>
          <w:sz w:val="24"/>
          <w:szCs w:val="24"/>
        </w:rPr>
        <w:t>W większości p</w:t>
      </w:r>
      <w:r w:rsidRPr="004509AD">
        <w:rPr>
          <w:rFonts w:ascii="Times New Roman" w:hAnsi="Times New Roman"/>
          <w:sz w:val="24"/>
          <w:szCs w:val="24"/>
        </w:rPr>
        <w:t xml:space="preserve">rojektodawca uwzględnił uwagi zgłoszone przez </w:t>
      </w:r>
      <w:r>
        <w:rPr>
          <w:rFonts w:ascii="Times New Roman" w:hAnsi="Times New Roman"/>
          <w:sz w:val="24"/>
          <w:szCs w:val="24"/>
        </w:rPr>
        <w:t>ww. instytucje</w:t>
      </w:r>
      <w:r w:rsidRPr="004509AD">
        <w:rPr>
          <w:rFonts w:ascii="Times New Roman" w:hAnsi="Times New Roman"/>
          <w:sz w:val="24"/>
          <w:szCs w:val="24"/>
        </w:rPr>
        <w:t>. Pozostałe przekazane stanowiska zostaną wykorzystane na dalszych etapach prac legislacyjnych przedmiotowego projektu.</w:t>
      </w:r>
    </w:p>
    <w:p w:rsidR="004509AD" w:rsidRPr="004509AD" w:rsidRDefault="004509AD" w:rsidP="00CC2F0C">
      <w:pPr>
        <w:spacing w:after="0" w:line="240" w:lineRule="auto"/>
      </w:pPr>
    </w:p>
    <w:p w:rsidR="004509AD" w:rsidRPr="004509AD" w:rsidRDefault="004509AD" w:rsidP="004509AD">
      <w:pPr>
        <w:spacing w:after="0" w:line="240" w:lineRule="auto"/>
      </w:pPr>
    </w:p>
    <w:p w:rsidR="004509AD" w:rsidRPr="004509AD" w:rsidRDefault="004509AD" w:rsidP="004509AD">
      <w:pPr>
        <w:keepNext/>
        <w:numPr>
          <w:ilvl w:val="0"/>
          <w:numId w:val="1"/>
        </w:numPr>
        <w:pBdr>
          <w:top w:val="single" w:sz="12" w:space="1" w:color="auto"/>
          <w:left w:val="single" w:sz="12" w:space="4" w:color="auto"/>
          <w:bottom w:val="single" w:sz="12" w:space="1" w:color="auto"/>
          <w:right w:val="single" w:sz="12" w:space="4" w:color="auto"/>
        </w:pBdr>
        <w:shd w:val="pct12" w:color="auto" w:fill="FFFFFF"/>
        <w:spacing w:after="0" w:line="240" w:lineRule="auto"/>
        <w:outlineLvl w:val="4"/>
        <w:rPr>
          <w:rFonts w:eastAsia="Times New Roman"/>
          <w:b/>
          <w:sz w:val="28"/>
          <w:szCs w:val="20"/>
          <w:lang w:eastAsia="pl-PL"/>
        </w:rPr>
      </w:pPr>
      <w:r w:rsidRPr="004509AD">
        <w:rPr>
          <w:rFonts w:eastAsia="Times New Roman"/>
          <w:b/>
          <w:sz w:val="28"/>
          <w:szCs w:val="20"/>
          <w:lang w:eastAsia="pl-PL"/>
        </w:rPr>
        <w:t>Informacja w sprawie zgodności projektu aktu z zasadą pomocniczości</w:t>
      </w:r>
    </w:p>
    <w:p w:rsidR="004509AD" w:rsidRPr="004509AD" w:rsidRDefault="004509AD" w:rsidP="004509AD">
      <w:pPr>
        <w:spacing w:after="0" w:line="240" w:lineRule="auto"/>
        <w:rPr>
          <w:i/>
        </w:rPr>
      </w:pPr>
    </w:p>
    <w:p w:rsidR="004509AD" w:rsidRPr="004509AD" w:rsidRDefault="004509AD" w:rsidP="004509AD">
      <w:pPr>
        <w:spacing w:after="0"/>
        <w:jc w:val="both"/>
        <w:rPr>
          <w:rFonts w:ascii="Times New Roman" w:hAnsi="Times New Roman"/>
          <w:sz w:val="24"/>
          <w:szCs w:val="24"/>
        </w:rPr>
      </w:pPr>
      <w:r w:rsidRPr="004509AD">
        <w:rPr>
          <w:rFonts w:ascii="Times New Roman" w:hAnsi="Times New Roman"/>
          <w:sz w:val="24"/>
          <w:szCs w:val="24"/>
        </w:rPr>
        <w:t xml:space="preserve">Zgodnie z zasadą pomocniczości na poziomie unijnym regulowane powinny być wyłącznie kwestie, w których osiągnięcie zakładanego celu przez regulacje na poziomie krajowym jest niemożliwe lub nieefektywne. W opinii Rządu RP Wniosek Rozporządzenia Parlamentu Europejskiego i Rady </w:t>
      </w:r>
      <w:r w:rsidR="005E421C" w:rsidRPr="005E421C">
        <w:rPr>
          <w:rFonts w:ascii="Times New Roman" w:hAnsi="Times New Roman"/>
          <w:sz w:val="24"/>
          <w:szCs w:val="24"/>
        </w:rPr>
        <w:t>w sprawie ram na potrzeby prowadzenia działań naprawczych oraz restrukturyzacji i uporządkowanej likwidacji w odniesieniu do kontrahentów centralnych oraz zmieniające rozporządzenia (UE) nr 1095/2010, (UE) nr 648/2012 i (UE) 2015/2365</w:t>
      </w:r>
      <w:r w:rsidR="005E421C">
        <w:rPr>
          <w:rFonts w:ascii="Times New Roman" w:hAnsi="Times New Roman"/>
          <w:sz w:val="24"/>
          <w:szCs w:val="24"/>
        </w:rPr>
        <w:t xml:space="preserve"> </w:t>
      </w:r>
      <w:r w:rsidRPr="004509AD">
        <w:rPr>
          <w:rFonts w:ascii="Times New Roman" w:hAnsi="Times New Roman"/>
          <w:sz w:val="24"/>
          <w:szCs w:val="24"/>
        </w:rPr>
        <w:t xml:space="preserve">jest zgodny z zasadą pomocniczości. </w:t>
      </w:r>
    </w:p>
    <w:p w:rsidR="004509AD" w:rsidRPr="004509AD" w:rsidRDefault="004509AD" w:rsidP="004509AD">
      <w:pPr>
        <w:spacing w:after="0" w:line="240" w:lineRule="auto"/>
      </w:pPr>
    </w:p>
    <w:p w:rsidR="004509AD" w:rsidRPr="004509AD" w:rsidRDefault="004509AD" w:rsidP="004509AD">
      <w:pPr>
        <w:keepNext/>
        <w:numPr>
          <w:ilvl w:val="0"/>
          <w:numId w:val="1"/>
        </w:numPr>
        <w:pBdr>
          <w:top w:val="single" w:sz="12" w:space="1" w:color="auto"/>
          <w:left w:val="single" w:sz="12" w:space="4" w:color="auto"/>
          <w:bottom w:val="single" w:sz="12" w:space="1" w:color="auto"/>
          <w:right w:val="single" w:sz="12" w:space="4" w:color="auto"/>
        </w:pBdr>
        <w:shd w:val="pct12" w:color="auto" w:fill="FFFFFF"/>
        <w:spacing w:after="0" w:line="240" w:lineRule="auto"/>
        <w:outlineLvl w:val="4"/>
        <w:rPr>
          <w:rFonts w:eastAsia="Times New Roman"/>
          <w:b/>
          <w:sz w:val="28"/>
          <w:szCs w:val="20"/>
          <w:lang w:eastAsia="pl-PL"/>
        </w:rPr>
      </w:pPr>
      <w:r w:rsidRPr="004509AD">
        <w:rPr>
          <w:rFonts w:eastAsia="Times New Roman"/>
          <w:b/>
          <w:sz w:val="28"/>
          <w:szCs w:val="20"/>
          <w:lang w:eastAsia="pl-PL"/>
        </w:rPr>
        <w:t xml:space="preserve">Przedstawiciel Rządu upoważniony do prezentowania stanowiska </w:t>
      </w:r>
    </w:p>
    <w:p w:rsidR="004509AD" w:rsidRPr="00F75BF4" w:rsidRDefault="004509AD" w:rsidP="00F75BF4">
      <w:pPr>
        <w:spacing w:after="0"/>
        <w:jc w:val="both"/>
        <w:rPr>
          <w:rFonts w:ascii="Times New Roman" w:hAnsi="Times New Roman"/>
          <w:sz w:val="24"/>
          <w:szCs w:val="24"/>
        </w:rPr>
      </w:pPr>
    </w:p>
    <w:p w:rsidR="004509AD" w:rsidRPr="00F75BF4" w:rsidRDefault="004509AD" w:rsidP="00F75BF4">
      <w:pPr>
        <w:spacing w:after="0"/>
        <w:jc w:val="both"/>
        <w:rPr>
          <w:rFonts w:ascii="Times New Roman" w:hAnsi="Times New Roman"/>
          <w:sz w:val="24"/>
          <w:szCs w:val="24"/>
        </w:rPr>
      </w:pPr>
      <w:r w:rsidRPr="00F75BF4">
        <w:rPr>
          <w:rFonts w:ascii="Times New Roman" w:hAnsi="Times New Roman"/>
          <w:sz w:val="24"/>
          <w:szCs w:val="24"/>
        </w:rPr>
        <w:t>Pan Piotr Nowak</w:t>
      </w:r>
    </w:p>
    <w:p w:rsidR="004509AD" w:rsidRPr="00F75BF4" w:rsidRDefault="004509AD" w:rsidP="00F75BF4">
      <w:pPr>
        <w:spacing w:after="0"/>
        <w:jc w:val="both"/>
        <w:rPr>
          <w:rFonts w:ascii="Times New Roman" w:hAnsi="Times New Roman"/>
          <w:sz w:val="24"/>
          <w:szCs w:val="24"/>
        </w:rPr>
      </w:pPr>
      <w:r w:rsidRPr="00F75BF4">
        <w:rPr>
          <w:rFonts w:ascii="Times New Roman" w:hAnsi="Times New Roman"/>
          <w:sz w:val="24"/>
          <w:szCs w:val="24"/>
        </w:rPr>
        <w:t>Podsekretarz Stanu</w:t>
      </w:r>
      <w:r w:rsidR="00F52BDC" w:rsidRPr="00F75BF4">
        <w:rPr>
          <w:rFonts w:ascii="Times New Roman" w:hAnsi="Times New Roman"/>
          <w:sz w:val="24"/>
          <w:szCs w:val="24"/>
        </w:rPr>
        <w:t xml:space="preserve"> w Ministerstwie Finansów</w:t>
      </w:r>
    </w:p>
    <w:p w:rsidR="004509AD" w:rsidRPr="00F75BF4" w:rsidRDefault="004509AD" w:rsidP="00F75BF4">
      <w:pPr>
        <w:spacing w:after="0"/>
        <w:jc w:val="both"/>
        <w:rPr>
          <w:rFonts w:ascii="Times New Roman" w:hAnsi="Times New Roman"/>
          <w:sz w:val="24"/>
          <w:szCs w:val="24"/>
        </w:rPr>
      </w:pPr>
      <w:r w:rsidRPr="00F75BF4">
        <w:rPr>
          <w:rFonts w:ascii="Times New Roman" w:hAnsi="Times New Roman"/>
          <w:sz w:val="24"/>
          <w:szCs w:val="24"/>
        </w:rPr>
        <w:t>(tel. 694 32 02)</w:t>
      </w:r>
    </w:p>
    <w:p w:rsidR="006B21AC" w:rsidRPr="00F75BF4" w:rsidRDefault="006B21AC" w:rsidP="00F75BF4">
      <w:pPr>
        <w:spacing w:after="0"/>
        <w:jc w:val="both"/>
        <w:rPr>
          <w:rFonts w:ascii="Times New Roman" w:hAnsi="Times New Roman"/>
          <w:sz w:val="24"/>
          <w:szCs w:val="24"/>
        </w:rPr>
      </w:pPr>
    </w:p>
    <w:p w:rsidR="00F52BDC" w:rsidRPr="00F75BF4" w:rsidRDefault="00F52BDC" w:rsidP="00F75BF4">
      <w:pPr>
        <w:spacing w:after="0"/>
        <w:jc w:val="both"/>
        <w:rPr>
          <w:rFonts w:ascii="Times New Roman" w:hAnsi="Times New Roman"/>
          <w:sz w:val="24"/>
          <w:szCs w:val="24"/>
        </w:rPr>
      </w:pPr>
    </w:p>
    <w:sectPr w:rsidR="00F52BDC" w:rsidRPr="00F75BF4" w:rsidSect="007A4B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168" w:rsidRDefault="00DE2168">
      <w:pPr>
        <w:spacing w:after="0" w:line="240" w:lineRule="auto"/>
      </w:pPr>
      <w:r>
        <w:separator/>
      </w:r>
    </w:p>
  </w:endnote>
  <w:endnote w:type="continuationSeparator" w:id="0">
    <w:p w:rsidR="00DE2168" w:rsidRDefault="00DE2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168" w:rsidRDefault="00DE2168">
      <w:pPr>
        <w:spacing w:after="0" w:line="240" w:lineRule="auto"/>
      </w:pPr>
      <w:r>
        <w:separator/>
      </w:r>
    </w:p>
  </w:footnote>
  <w:footnote w:type="continuationSeparator" w:id="0">
    <w:p w:rsidR="00DE2168" w:rsidRDefault="00DE2168">
      <w:pPr>
        <w:spacing w:after="0" w:line="240" w:lineRule="auto"/>
      </w:pPr>
      <w:r>
        <w:continuationSeparator/>
      </w:r>
    </w:p>
  </w:footnote>
  <w:footnote w:id="1">
    <w:p w:rsidR="003D6073" w:rsidRPr="00F75BF4" w:rsidRDefault="003D6073" w:rsidP="00F75BF4">
      <w:pPr>
        <w:pStyle w:val="Tekstprzypisudolnego"/>
        <w:jc w:val="both"/>
        <w:rPr>
          <w:rFonts w:ascii="Times New Roman" w:hAnsi="Times New Roman"/>
        </w:rPr>
      </w:pPr>
      <w:r w:rsidRPr="00F75BF4">
        <w:rPr>
          <w:rStyle w:val="Odwoanieprzypisudolnego"/>
          <w:rFonts w:ascii="Times New Roman" w:hAnsi="Times New Roman"/>
        </w:rPr>
        <w:footnoteRef/>
      </w:r>
      <w:r w:rsidRPr="00F75BF4">
        <w:rPr>
          <w:rFonts w:ascii="Times New Roman" w:hAnsi="Times New Roman"/>
        </w:rPr>
        <w:t xml:space="preserve"> Rozporządzenie Parlamentu Europejskiego i Rady (UE) nr 648/2012 z dnia 4 lipca 2012 r. w sprawie instrumentów pochodnych będących przedmiotem obrotu poza rynkiem regulowanym, kontrahentów centralnych i repozytoriów transakcji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7C0F"/>
    <w:multiLevelType w:val="hybridMultilevel"/>
    <w:tmpl w:val="9DA8DE52"/>
    <w:lvl w:ilvl="0" w:tplc="D0DAEB3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72B76D7"/>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2E7C0FD2"/>
    <w:multiLevelType w:val="hybridMultilevel"/>
    <w:tmpl w:val="8B9090AE"/>
    <w:lvl w:ilvl="0" w:tplc="06E26814">
      <w:start w:val="1"/>
      <w:numFmt w:val="decimal"/>
      <w:lvlText w:val="%1."/>
      <w:lvlJc w:val="left"/>
      <w:pPr>
        <w:ind w:left="1080" w:hanging="720"/>
      </w:pPr>
      <w:rPr>
        <w:rFonts w:ascii="Times New Roman" w:eastAsia="Calibri"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AE2F24"/>
    <w:multiLevelType w:val="singleLevel"/>
    <w:tmpl w:val="4CFAA634"/>
    <w:lvl w:ilvl="0">
      <w:start w:val="1"/>
      <w:numFmt w:val="upperRoman"/>
      <w:pStyle w:val="Nagwek5"/>
      <w:lvlText w:val="%1."/>
      <w:lvlJc w:val="left"/>
      <w:pPr>
        <w:tabs>
          <w:tab w:val="num" w:pos="720"/>
        </w:tabs>
        <w:ind w:left="720" w:hanging="720"/>
      </w:pPr>
      <w:rPr>
        <w:rFonts w:hint="default"/>
      </w:rPr>
    </w:lvl>
  </w:abstractNum>
  <w:abstractNum w:abstractNumId="4" w15:restartNumberingAfterBreak="0">
    <w:nsid w:val="638823E7"/>
    <w:multiLevelType w:val="hybridMultilevel"/>
    <w:tmpl w:val="1B6C7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D2"/>
    <w:rsid w:val="00062932"/>
    <w:rsid w:val="000A3C28"/>
    <w:rsid w:val="000D1E94"/>
    <w:rsid w:val="000D7CED"/>
    <w:rsid w:val="00110D2B"/>
    <w:rsid w:val="00113581"/>
    <w:rsid w:val="00145478"/>
    <w:rsid w:val="0017589C"/>
    <w:rsid w:val="001769F3"/>
    <w:rsid w:val="00186E71"/>
    <w:rsid w:val="001B5901"/>
    <w:rsid w:val="00202D97"/>
    <w:rsid w:val="00221663"/>
    <w:rsid w:val="002331B1"/>
    <w:rsid w:val="00234F8D"/>
    <w:rsid w:val="002634FA"/>
    <w:rsid w:val="002870AD"/>
    <w:rsid w:val="002B0B0D"/>
    <w:rsid w:val="002C0E32"/>
    <w:rsid w:val="002C20C1"/>
    <w:rsid w:val="002C5D53"/>
    <w:rsid w:val="0031658E"/>
    <w:rsid w:val="0032090C"/>
    <w:rsid w:val="003572C6"/>
    <w:rsid w:val="0038553B"/>
    <w:rsid w:val="00391EEE"/>
    <w:rsid w:val="003C5179"/>
    <w:rsid w:val="003D6073"/>
    <w:rsid w:val="003E53E4"/>
    <w:rsid w:val="003F0435"/>
    <w:rsid w:val="003F7D2D"/>
    <w:rsid w:val="00403AC2"/>
    <w:rsid w:val="00413068"/>
    <w:rsid w:val="004138BC"/>
    <w:rsid w:val="0042701C"/>
    <w:rsid w:val="00432AFF"/>
    <w:rsid w:val="004509AD"/>
    <w:rsid w:val="00460E95"/>
    <w:rsid w:val="00471B38"/>
    <w:rsid w:val="00476D3E"/>
    <w:rsid w:val="00481030"/>
    <w:rsid w:val="004961B5"/>
    <w:rsid w:val="00496CA8"/>
    <w:rsid w:val="004A1071"/>
    <w:rsid w:val="004C3DBB"/>
    <w:rsid w:val="004C54F3"/>
    <w:rsid w:val="004E6732"/>
    <w:rsid w:val="004F41EE"/>
    <w:rsid w:val="004F707B"/>
    <w:rsid w:val="005041F6"/>
    <w:rsid w:val="0052035A"/>
    <w:rsid w:val="0052563E"/>
    <w:rsid w:val="00564056"/>
    <w:rsid w:val="00582F02"/>
    <w:rsid w:val="00593CDD"/>
    <w:rsid w:val="005C5904"/>
    <w:rsid w:val="005E421C"/>
    <w:rsid w:val="006320E4"/>
    <w:rsid w:val="00654C69"/>
    <w:rsid w:val="006A3549"/>
    <w:rsid w:val="006B21AC"/>
    <w:rsid w:val="006D49F5"/>
    <w:rsid w:val="006F7435"/>
    <w:rsid w:val="006F770E"/>
    <w:rsid w:val="0072673E"/>
    <w:rsid w:val="007412BD"/>
    <w:rsid w:val="007A4BF3"/>
    <w:rsid w:val="007B6935"/>
    <w:rsid w:val="007D4265"/>
    <w:rsid w:val="007E0AE4"/>
    <w:rsid w:val="007F6551"/>
    <w:rsid w:val="00896588"/>
    <w:rsid w:val="00896C7E"/>
    <w:rsid w:val="008C244D"/>
    <w:rsid w:val="008D67C9"/>
    <w:rsid w:val="008E0831"/>
    <w:rsid w:val="008F27E7"/>
    <w:rsid w:val="008F389D"/>
    <w:rsid w:val="0092407F"/>
    <w:rsid w:val="00995AF6"/>
    <w:rsid w:val="009F206C"/>
    <w:rsid w:val="00A07714"/>
    <w:rsid w:val="00A24ECE"/>
    <w:rsid w:val="00A53AD8"/>
    <w:rsid w:val="00A60D87"/>
    <w:rsid w:val="00A7440B"/>
    <w:rsid w:val="00A746F2"/>
    <w:rsid w:val="00A76B8E"/>
    <w:rsid w:val="00A8452B"/>
    <w:rsid w:val="00AC4AF9"/>
    <w:rsid w:val="00AF1487"/>
    <w:rsid w:val="00AF618A"/>
    <w:rsid w:val="00B22407"/>
    <w:rsid w:val="00B266E2"/>
    <w:rsid w:val="00B26BD7"/>
    <w:rsid w:val="00B6597B"/>
    <w:rsid w:val="00B770BD"/>
    <w:rsid w:val="00B84535"/>
    <w:rsid w:val="00B879FB"/>
    <w:rsid w:val="00B96950"/>
    <w:rsid w:val="00BA576E"/>
    <w:rsid w:val="00BA5875"/>
    <w:rsid w:val="00BF3D44"/>
    <w:rsid w:val="00C200AE"/>
    <w:rsid w:val="00C30CC6"/>
    <w:rsid w:val="00C5389A"/>
    <w:rsid w:val="00C55ED2"/>
    <w:rsid w:val="00C70476"/>
    <w:rsid w:val="00C94766"/>
    <w:rsid w:val="00CC2F0C"/>
    <w:rsid w:val="00CD027D"/>
    <w:rsid w:val="00CD4B86"/>
    <w:rsid w:val="00CE6E7B"/>
    <w:rsid w:val="00D07CD2"/>
    <w:rsid w:val="00D14478"/>
    <w:rsid w:val="00D230D4"/>
    <w:rsid w:val="00D24DD4"/>
    <w:rsid w:val="00D44316"/>
    <w:rsid w:val="00D57BE4"/>
    <w:rsid w:val="00D624E3"/>
    <w:rsid w:val="00D73CD3"/>
    <w:rsid w:val="00DA098A"/>
    <w:rsid w:val="00DA30AB"/>
    <w:rsid w:val="00DA49C8"/>
    <w:rsid w:val="00DB3C41"/>
    <w:rsid w:val="00DB586A"/>
    <w:rsid w:val="00DD4AFC"/>
    <w:rsid w:val="00DD67CC"/>
    <w:rsid w:val="00DE2168"/>
    <w:rsid w:val="00DF5450"/>
    <w:rsid w:val="00E07226"/>
    <w:rsid w:val="00E11F81"/>
    <w:rsid w:val="00E26B1A"/>
    <w:rsid w:val="00E42C25"/>
    <w:rsid w:val="00E70D22"/>
    <w:rsid w:val="00E77ED2"/>
    <w:rsid w:val="00F06ACE"/>
    <w:rsid w:val="00F25F72"/>
    <w:rsid w:val="00F32D30"/>
    <w:rsid w:val="00F52BDC"/>
    <w:rsid w:val="00F75BF4"/>
    <w:rsid w:val="00F77B21"/>
    <w:rsid w:val="00F90D90"/>
    <w:rsid w:val="00F95AF1"/>
    <w:rsid w:val="00FB130E"/>
    <w:rsid w:val="00FB3056"/>
    <w:rsid w:val="00FF63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30F48"/>
  <w15:docId w15:val="{38E4A927-22C0-43A8-96C8-EC962FAB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7CD2"/>
    <w:pPr>
      <w:spacing w:after="200" w:line="276" w:lineRule="auto"/>
    </w:pPr>
    <w:rPr>
      <w:sz w:val="22"/>
      <w:szCs w:val="22"/>
      <w:lang w:eastAsia="en-US"/>
    </w:rPr>
  </w:style>
  <w:style w:type="paragraph" w:styleId="Nagwek1">
    <w:name w:val="heading 1"/>
    <w:basedOn w:val="Normalny"/>
    <w:next w:val="Normalny"/>
    <w:link w:val="Nagwek1Znak"/>
    <w:qFormat/>
    <w:rsid w:val="004961B5"/>
    <w:pPr>
      <w:keepNext/>
      <w:spacing w:after="0" w:line="240" w:lineRule="auto"/>
      <w:outlineLvl w:val="0"/>
    </w:pPr>
    <w:rPr>
      <w:rFonts w:ascii="Times New Roman" w:eastAsia="Times New Roman" w:hAnsi="Times New Roman"/>
      <w:b/>
      <w:sz w:val="26"/>
      <w:szCs w:val="24"/>
      <w:lang w:eastAsia="pl-PL"/>
    </w:rPr>
  </w:style>
  <w:style w:type="paragraph" w:styleId="Nagwek3">
    <w:name w:val="heading 3"/>
    <w:basedOn w:val="Normalny"/>
    <w:next w:val="Normalny"/>
    <w:link w:val="Nagwek3Znak"/>
    <w:qFormat/>
    <w:rsid w:val="004961B5"/>
    <w:pPr>
      <w:keepNext/>
      <w:spacing w:before="240" w:after="60" w:line="240" w:lineRule="auto"/>
      <w:outlineLvl w:val="2"/>
    </w:pPr>
    <w:rPr>
      <w:rFonts w:ascii="Arial" w:eastAsia="Times New Roman" w:hAnsi="Arial"/>
      <w:sz w:val="24"/>
      <w:szCs w:val="20"/>
      <w:lang w:eastAsia="pl-PL"/>
    </w:rPr>
  </w:style>
  <w:style w:type="paragraph" w:styleId="Nagwek5">
    <w:name w:val="heading 5"/>
    <w:basedOn w:val="Normalny"/>
    <w:next w:val="Normalny"/>
    <w:link w:val="Nagwek5Znak"/>
    <w:qFormat/>
    <w:rsid w:val="004961B5"/>
    <w:pPr>
      <w:keepNext/>
      <w:numPr>
        <w:numId w:val="1"/>
      </w:numPr>
      <w:pBdr>
        <w:top w:val="single" w:sz="12" w:space="1" w:color="auto"/>
        <w:left w:val="single" w:sz="12" w:space="4" w:color="auto"/>
        <w:bottom w:val="single" w:sz="12" w:space="1" w:color="auto"/>
        <w:right w:val="single" w:sz="12" w:space="4" w:color="auto"/>
      </w:pBdr>
      <w:shd w:val="pct12" w:color="auto" w:fill="FFFFFF"/>
      <w:spacing w:after="0" w:line="240" w:lineRule="auto"/>
      <w:outlineLvl w:val="4"/>
    </w:pPr>
    <w:rPr>
      <w:rFonts w:ascii="Times New Roman" w:eastAsia="Times New Roman" w:hAnsi="Times New Roman"/>
      <w:b/>
      <w:sz w:val="28"/>
      <w:szCs w:val="20"/>
      <w:lang w:eastAsia="pl-PL"/>
    </w:rPr>
  </w:style>
  <w:style w:type="paragraph" w:styleId="Nagwek8">
    <w:name w:val="heading 8"/>
    <w:basedOn w:val="Normalny"/>
    <w:next w:val="Normalny"/>
    <w:link w:val="Nagwek8Znak"/>
    <w:qFormat/>
    <w:rsid w:val="004961B5"/>
    <w:pPr>
      <w:keepNext/>
      <w:spacing w:after="0" w:line="240" w:lineRule="auto"/>
      <w:outlineLvl w:val="7"/>
    </w:pPr>
    <w:rPr>
      <w:rFonts w:ascii="Times New Roman" w:eastAsia="Times New Roman" w:hAnsi="Times New Roman"/>
      <w:i/>
      <w:sz w:val="2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113581"/>
    <w:pPr>
      <w:spacing w:before="120" w:after="0" w:line="240" w:lineRule="auto"/>
      <w:jc w:val="both"/>
    </w:pPr>
    <w:rPr>
      <w:rFonts w:ascii="Times New Roman" w:eastAsia="Times New Roman" w:hAnsi="Times New Roman"/>
      <w:color w:val="000000"/>
      <w:sz w:val="24"/>
      <w:szCs w:val="24"/>
      <w:lang w:eastAsia="pl-PL"/>
    </w:rPr>
  </w:style>
  <w:style w:type="character" w:customStyle="1" w:styleId="TekstpodstawowywcityZnak">
    <w:name w:val="Tekst podstawowy wcięty Znak"/>
    <w:link w:val="Tekstpodstawowywcity"/>
    <w:rsid w:val="00113581"/>
    <w:rPr>
      <w:rFonts w:ascii="Times New Roman" w:eastAsia="Times New Roman" w:hAnsi="Times New Roman"/>
      <w:color w:val="000000"/>
      <w:sz w:val="24"/>
      <w:szCs w:val="24"/>
    </w:rPr>
  </w:style>
  <w:style w:type="paragraph" w:styleId="Tekstpodstawowy">
    <w:name w:val="Body Text"/>
    <w:basedOn w:val="Normalny"/>
    <w:link w:val="TekstpodstawowyZnak"/>
    <w:uiPriority w:val="99"/>
    <w:semiHidden/>
    <w:unhideWhenUsed/>
    <w:rsid w:val="004961B5"/>
    <w:pPr>
      <w:spacing w:after="120"/>
    </w:pPr>
  </w:style>
  <w:style w:type="character" w:customStyle="1" w:styleId="TekstpodstawowyZnak">
    <w:name w:val="Tekst podstawowy Znak"/>
    <w:link w:val="Tekstpodstawowy"/>
    <w:uiPriority w:val="99"/>
    <w:semiHidden/>
    <w:rsid w:val="004961B5"/>
    <w:rPr>
      <w:sz w:val="22"/>
      <w:szCs w:val="22"/>
      <w:lang w:eastAsia="en-US"/>
    </w:rPr>
  </w:style>
  <w:style w:type="paragraph" w:styleId="Tekstpodstawowy3">
    <w:name w:val="Body Text 3"/>
    <w:basedOn w:val="Normalny"/>
    <w:link w:val="Tekstpodstawowy3Znak"/>
    <w:uiPriority w:val="99"/>
    <w:unhideWhenUsed/>
    <w:rsid w:val="004961B5"/>
    <w:pPr>
      <w:spacing w:after="120"/>
    </w:pPr>
    <w:rPr>
      <w:sz w:val="16"/>
      <w:szCs w:val="16"/>
    </w:rPr>
  </w:style>
  <w:style w:type="character" w:customStyle="1" w:styleId="Tekstpodstawowy3Znak">
    <w:name w:val="Tekst podstawowy 3 Znak"/>
    <w:link w:val="Tekstpodstawowy3"/>
    <w:uiPriority w:val="99"/>
    <w:rsid w:val="004961B5"/>
    <w:rPr>
      <w:sz w:val="16"/>
      <w:szCs w:val="16"/>
      <w:lang w:eastAsia="en-US"/>
    </w:rPr>
  </w:style>
  <w:style w:type="character" w:customStyle="1" w:styleId="Nagwek1Znak">
    <w:name w:val="Nagłówek 1 Znak"/>
    <w:link w:val="Nagwek1"/>
    <w:rsid w:val="004961B5"/>
    <w:rPr>
      <w:rFonts w:ascii="Times New Roman" w:eastAsia="Times New Roman" w:hAnsi="Times New Roman"/>
      <w:b/>
      <w:sz w:val="26"/>
      <w:szCs w:val="24"/>
    </w:rPr>
  </w:style>
  <w:style w:type="character" w:customStyle="1" w:styleId="Nagwek3Znak">
    <w:name w:val="Nagłówek 3 Znak"/>
    <w:link w:val="Nagwek3"/>
    <w:rsid w:val="004961B5"/>
    <w:rPr>
      <w:rFonts w:ascii="Arial" w:eastAsia="Times New Roman" w:hAnsi="Arial"/>
      <w:sz w:val="24"/>
    </w:rPr>
  </w:style>
  <w:style w:type="character" w:customStyle="1" w:styleId="Nagwek5Znak">
    <w:name w:val="Nagłówek 5 Znak"/>
    <w:link w:val="Nagwek5"/>
    <w:rsid w:val="004961B5"/>
    <w:rPr>
      <w:rFonts w:ascii="Times New Roman" w:eastAsia="Times New Roman" w:hAnsi="Times New Roman"/>
      <w:b/>
      <w:sz w:val="28"/>
      <w:shd w:val="pct12" w:color="auto" w:fill="FFFFFF"/>
    </w:rPr>
  </w:style>
  <w:style w:type="character" w:customStyle="1" w:styleId="Nagwek8Znak">
    <w:name w:val="Nagłówek 8 Znak"/>
    <w:link w:val="Nagwek8"/>
    <w:rsid w:val="004961B5"/>
    <w:rPr>
      <w:rFonts w:ascii="Times New Roman" w:eastAsia="Times New Roman" w:hAnsi="Times New Roman"/>
      <w:i/>
      <w:sz w:val="26"/>
    </w:rPr>
  </w:style>
  <w:style w:type="paragraph" w:styleId="Stopka">
    <w:name w:val="footer"/>
    <w:basedOn w:val="Normalny"/>
    <w:link w:val="StopkaZnak"/>
    <w:rsid w:val="004961B5"/>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rsid w:val="004961B5"/>
    <w:rPr>
      <w:rFonts w:ascii="Times New Roman" w:eastAsia="Times New Roman" w:hAnsi="Times New Roman"/>
      <w:sz w:val="24"/>
      <w:szCs w:val="24"/>
    </w:rPr>
  </w:style>
  <w:style w:type="paragraph" w:styleId="Nagwek">
    <w:name w:val="header"/>
    <w:basedOn w:val="Normalny"/>
    <w:link w:val="NagwekZnak"/>
    <w:rsid w:val="004961B5"/>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rsid w:val="004961B5"/>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FF63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636D"/>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4C54F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54F3"/>
    <w:rPr>
      <w:lang w:eastAsia="en-US"/>
    </w:rPr>
  </w:style>
  <w:style w:type="character" w:styleId="Odwoanieprzypisudolnego">
    <w:name w:val="footnote reference"/>
    <w:basedOn w:val="Domylnaczcionkaakapitu"/>
    <w:uiPriority w:val="99"/>
    <w:semiHidden/>
    <w:unhideWhenUsed/>
    <w:rsid w:val="004C54F3"/>
    <w:rPr>
      <w:shd w:val="clear" w:color="auto" w:fill="auto"/>
      <w:vertAlign w:val="superscript"/>
    </w:rPr>
  </w:style>
  <w:style w:type="paragraph" w:styleId="Akapitzlist">
    <w:name w:val="List Paragraph"/>
    <w:basedOn w:val="Normalny"/>
    <w:uiPriority w:val="34"/>
    <w:qFormat/>
    <w:rsid w:val="00233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54963-20CA-4AFE-9FC0-7D4EF936C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2482</Words>
  <Characters>14897</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Ministerstwo Spraw Zagranicznych</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miskiewiczj</dc:creator>
  <cp:lastModifiedBy>Miziołowska Urszula</cp:lastModifiedBy>
  <cp:revision>2</cp:revision>
  <dcterms:created xsi:type="dcterms:W3CDTF">2017-02-16T12:31:00Z</dcterms:created>
  <dcterms:modified xsi:type="dcterms:W3CDTF">2017-02-16T12:31:00Z</dcterms:modified>
</cp:coreProperties>
</file>