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157D6" w14:textId="50F90269" w:rsidR="00322CE9" w:rsidRPr="006563D0" w:rsidRDefault="003B19B0" w:rsidP="006563D0">
      <w:pPr>
        <w:pStyle w:val="Nagwek1"/>
        <w:spacing w:line="340" w:lineRule="atLeast"/>
        <w:rPr>
          <w:rFonts w:cs="Times New Roman"/>
          <w:color w:val="auto"/>
          <w:sz w:val="24"/>
          <w:szCs w:val="24"/>
          <w:u w:val="single"/>
        </w:rPr>
      </w:pPr>
      <w:bookmarkStart w:id="0" w:name="_GoBack"/>
      <w:bookmarkEnd w:id="0"/>
      <w:r w:rsidRPr="006563D0">
        <w:rPr>
          <w:rFonts w:cs="Times New Roman"/>
          <w:color w:val="auto"/>
          <w:sz w:val="24"/>
          <w:szCs w:val="24"/>
          <w:u w:val="single"/>
        </w:rPr>
        <w:t>U</w:t>
      </w:r>
      <w:r w:rsidRPr="005942A4">
        <w:rPr>
          <w:rFonts w:cs="Times New Roman"/>
          <w:color w:val="auto"/>
          <w:sz w:val="24"/>
          <w:szCs w:val="24"/>
          <w:u w:val="single"/>
        </w:rPr>
        <w:t>zasadnienie</w:t>
      </w:r>
    </w:p>
    <w:p w14:paraId="62418FB0" w14:textId="4F945525" w:rsidR="00FE0EEE" w:rsidRPr="006657A5" w:rsidRDefault="00FE0EEE" w:rsidP="006563D0">
      <w:pPr>
        <w:spacing w:line="340" w:lineRule="atLeast"/>
        <w:rPr>
          <w:rFonts w:cs="Times New Roman"/>
          <w:szCs w:val="24"/>
        </w:rPr>
      </w:pPr>
      <w:r w:rsidRPr="005942A4">
        <w:rPr>
          <w:rFonts w:cs="Times New Roman"/>
          <w:szCs w:val="24"/>
        </w:rPr>
        <w:t xml:space="preserve">W dniu 5 czerwca 2015 r. </w:t>
      </w:r>
      <w:r w:rsidRPr="006657A5">
        <w:rPr>
          <w:rFonts w:cs="Times New Roman"/>
          <w:szCs w:val="24"/>
        </w:rPr>
        <w:t>opublikowana</w:t>
      </w:r>
      <w:r w:rsidR="003B19B0" w:rsidRPr="003B19B0">
        <w:t xml:space="preserve"> </w:t>
      </w:r>
      <w:r w:rsidR="003B19B0" w:rsidRPr="003B19B0">
        <w:rPr>
          <w:rFonts w:cs="Times New Roman"/>
          <w:szCs w:val="24"/>
        </w:rPr>
        <w:t>została</w:t>
      </w:r>
      <w:r w:rsidRPr="005942A4">
        <w:rPr>
          <w:rFonts w:cs="Times New Roman"/>
          <w:szCs w:val="24"/>
        </w:rPr>
        <w:t xml:space="preserve"> w Dzienniku Urzędowym UE </w:t>
      </w:r>
      <w:r w:rsidRPr="006563D0">
        <w:rPr>
          <w:rFonts w:cs="Times New Roman"/>
          <w:szCs w:val="24"/>
        </w:rPr>
        <w:t>Dyrektywa Parlamentu Europejskiego i Rady (UE) 2015/849 z dnia 20 maja 2015 r.</w:t>
      </w:r>
      <w:r w:rsidRPr="005942A4">
        <w:rPr>
          <w:rFonts w:cs="Times New Roman"/>
          <w:i/>
          <w:szCs w:val="24"/>
        </w:rPr>
        <w:t xml:space="preserve"> w sprawie zapobiegania wykorzystywaniu syst</w:t>
      </w:r>
      <w:r w:rsidRPr="006657A5">
        <w:rPr>
          <w:rFonts w:cs="Times New Roman"/>
          <w:i/>
          <w:szCs w:val="24"/>
        </w:rPr>
        <w:t>emu finansowego do prania pieniędzy lub finansowania terroryzmu, zmieniająca rozporządzenie Parlamentu Europejskiego i Rady (UE) nr 648/2012 i uchylająca dyrektywę Parlamentu Europejskiego i Rady 2005/60/WE</w:t>
      </w:r>
      <w:r w:rsidRPr="009F192D">
        <w:rPr>
          <w:rFonts w:cs="Times New Roman"/>
          <w:szCs w:val="24"/>
        </w:rPr>
        <w:t xml:space="preserve"> </w:t>
      </w:r>
      <w:r w:rsidRPr="009F192D">
        <w:rPr>
          <w:rFonts w:cs="Times New Roman"/>
          <w:i/>
          <w:szCs w:val="24"/>
        </w:rPr>
        <w:t xml:space="preserve">oraz </w:t>
      </w:r>
      <w:r w:rsidRPr="00207355">
        <w:rPr>
          <w:rFonts w:cs="Times New Roman"/>
          <w:i/>
          <w:szCs w:val="24"/>
        </w:rPr>
        <w:t>dyrektywę Komisji 2006/70/WE</w:t>
      </w:r>
      <w:r w:rsidR="003B19B0">
        <w:rPr>
          <w:rFonts w:cs="Times New Roman"/>
          <w:szCs w:val="24"/>
        </w:rPr>
        <w:t xml:space="preserve"> (</w:t>
      </w:r>
      <w:r w:rsidRPr="005942A4">
        <w:rPr>
          <w:rFonts w:cs="Times New Roman"/>
          <w:szCs w:val="24"/>
        </w:rPr>
        <w:t>dalej</w:t>
      </w:r>
      <w:r w:rsidR="00782466">
        <w:rPr>
          <w:rFonts w:cs="Times New Roman"/>
          <w:szCs w:val="24"/>
        </w:rPr>
        <w:t>, jako</w:t>
      </w:r>
      <w:r w:rsidRPr="005942A4">
        <w:rPr>
          <w:rFonts w:cs="Times New Roman"/>
          <w:szCs w:val="24"/>
        </w:rPr>
        <w:t xml:space="preserve"> Dyrektyw</w:t>
      </w:r>
      <w:r w:rsidR="00782466">
        <w:rPr>
          <w:rFonts w:cs="Times New Roman"/>
          <w:szCs w:val="24"/>
        </w:rPr>
        <w:t>a</w:t>
      </w:r>
      <w:r w:rsidRPr="005942A4">
        <w:rPr>
          <w:rFonts w:cs="Times New Roman"/>
          <w:szCs w:val="24"/>
        </w:rPr>
        <w:t xml:space="preserve"> </w:t>
      </w:r>
      <w:r w:rsidR="007F4AD0" w:rsidRPr="006657A5">
        <w:rPr>
          <w:rFonts w:cs="Times New Roman"/>
          <w:szCs w:val="24"/>
        </w:rPr>
        <w:t>2015/849</w:t>
      </w:r>
      <w:r w:rsidR="003B19B0">
        <w:rPr>
          <w:rFonts w:cs="Times New Roman"/>
          <w:szCs w:val="24"/>
        </w:rPr>
        <w:t>)</w:t>
      </w:r>
      <w:r w:rsidRPr="005942A4">
        <w:rPr>
          <w:rFonts w:cs="Times New Roman"/>
          <w:szCs w:val="24"/>
        </w:rPr>
        <w:t xml:space="preserve">. </w:t>
      </w:r>
      <w:r w:rsidR="003B19B0">
        <w:rPr>
          <w:rFonts w:cs="Times New Roman"/>
          <w:szCs w:val="24"/>
        </w:rPr>
        <w:t xml:space="preserve"> </w:t>
      </w:r>
      <w:r w:rsidR="007F4AD0" w:rsidRPr="005942A4">
        <w:rPr>
          <w:rFonts w:cs="Times New Roman"/>
          <w:szCs w:val="24"/>
        </w:rPr>
        <w:t xml:space="preserve">Dyrektywa 2015/849 </w:t>
      </w:r>
      <w:r w:rsidRPr="006657A5">
        <w:rPr>
          <w:rFonts w:cs="Times New Roman"/>
          <w:szCs w:val="24"/>
        </w:rPr>
        <w:t xml:space="preserve">weszła w życie w dniu 25 czerwca 2015 r. </w:t>
      </w:r>
    </w:p>
    <w:p w14:paraId="08324E93" w14:textId="56C969A7" w:rsidR="00FE0EEE" w:rsidRPr="002E495D" w:rsidRDefault="00FE0EEE" w:rsidP="006563D0">
      <w:pPr>
        <w:spacing w:line="340" w:lineRule="atLeast"/>
        <w:rPr>
          <w:rFonts w:cs="Times New Roman"/>
          <w:szCs w:val="24"/>
        </w:rPr>
      </w:pPr>
      <w:r w:rsidRPr="009F192D">
        <w:rPr>
          <w:rFonts w:cs="Times New Roman"/>
          <w:szCs w:val="24"/>
        </w:rPr>
        <w:t xml:space="preserve">Nowe przepisy unijne mają swoje źródło zarówno w zmienionych rekomendacjach </w:t>
      </w:r>
      <w:r w:rsidR="00660658" w:rsidRPr="009F192D">
        <w:rPr>
          <w:rFonts w:cs="Times New Roman"/>
          <w:szCs w:val="24"/>
        </w:rPr>
        <w:t>Financial Action Task Force (</w:t>
      </w:r>
      <w:r w:rsidRPr="00207355">
        <w:rPr>
          <w:rFonts w:cs="Times New Roman"/>
          <w:szCs w:val="24"/>
        </w:rPr>
        <w:t>FATF</w:t>
      </w:r>
      <w:r w:rsidR="00660658" w:rsidRPr="00207355">
        <w:rPr>
          <w:rFonts w:cs="Times New Roman"/>
          <w:szCs w:val="24"/>
        </w:rPr>
        <w:t>)</w:t>
      </w:r>
      <w:r w:rsidRPr="002E495D">
        <w:rPr>
          <w:rFonts w:cs="Times New Roman"/>
          <w:szCs w:val="24"/>
        </w:rPr>
        <w:t>, jak i częściowo zmodyfikowanym podejściu Unii Europejskiej</w:t>
      </w:r>
      <w:r w:rsidR="00185471" w:rsidRPr="00257A48">
        <w:rPr>
          <w:rFonts w:cs="Times New Roman"/>
          <w:szCs w:val="24"/>
        </w:rPr>
        <w:t xml:space="preserve"> (UE)</w:t>
      </w:r>
      <w:r w:rsidRPr="006563D0">
        <w:rPr>
          <w:rFonts w:cs="Times New Roman"/>
          <w:szCs w:val="24"/>
        </w:rPr>
        <w:t xml:space="preserve"> do kwestii przeciwdziałania praniu pieniędzy i finansowaniu terroryzmu. Położono m.in. nacisk na tworzenie podobnych systemów gromadzenia informacji, które ułatwiłyby i przyśpieszyły pracę nie tylko krajowych jednostek analityki finansowej (dalej</w:t>
      </w:r>
      <w:r w:rsidR="006657A5">
        <w:rPr>
          <w:rFonts w:cs="Times New Roman"/>
          <w:szCs w:val="24"/>
        </w:rPr>
        <w:t>,</w:t>
      </w:r>
      <w:r w:rsidRPr="009F192D">
        <w:rPr>
          <w:rFonts w:cs="Times New Roman"/>
          <w:szCs w:val="24"/>
        </w:rPr>
        <w:t xml:space="preserve"> jako JAF) i innych organów zwalczających przestępczość, ale również wymianę informacji w ramach </w:t>
      </w:r>
      <w:r w:rsidR="00185471" w:rsidRPr="00207355">
        <w:rPr>
          <w:rFonts w:cs="Times New Roman"/>
          <w:szCs w:val="24"/>
        </w:rPr>
        <w:t>UE</w:t>
      </w:r>
      <w:r w:rsidRPr="00207355">
        <w:rPr>
          <w:rFonts w:cs="Times New Roman"/>
          <w:szCs w:val="24"/>
        </w:rPr>
        <w:t>.</w:t>
      </w:r>
    </w:p>
    <w:p w14:paraId="007929F1" w14:textId="55F09AD8" w:rsidR="00437686" w:rsidRPr="00207355" w:rsidRDefault="00FE0EEE" w:rsidP="006563D0">
      <w:pPr>
        <w:spacing w:line="340" w:lineRule="atLeast"/>
        <w:rPr>
          <w:rFonts w:cs="Times New Roman"/>
          <w:szCs w:val="24"/>
        </w:rPr>
      </w:pPr>
      <w:r w:rsidRPr="002E495D">
        <w:rPr>
          <w:rFonts w:cs="Times New Roman"/>
          <w:szCs w:val="24"/>
        </w:rPr>
        <w:t xml:space="preserve">Celem nowej </w:t>
      </w:r>
      <w:r w:rsidRPr="006563D0">
        <w:rPr>
          <w:rFonts w:cs="Times New Roman"/>
          <w:szCs w:val="24"/>
        </w:rPr>
        <w:t>ustawy o przeciwdziałaniu praniu pieniędzy oraz finansowaniu</w:t>
      </w:r>
      <w:r w:rsidRPr="005942A4">
        <w:rPr>
          <w:rFonts w:cs="Times New Roman"/>
          <w:szCs w:val="24"/>
        </w:rPr>
        <w:t xml:space="preserve"> </w:t>
      </w:r>
      <w:r w:rsidR="00437686" w:rsidRPr="00207355">
        <w:rPr>
          <w:rFonts w:cs="Times New Roman"/>
          <w:szCs w:val="24"/>
        </w:rPr>
        <w:t xml:space="preserve">jest dostosowanie polskich przepisów do przepisów Dyrektywy 2015/849 i zaleceń FATF. </w:t>
      </w:r>
      <w:r w:rsidR="001A524B">
        <w:rPr>
          <w:rFonts w:cs="Times New Roman"/>
          <w:szCs w:val="24"/>
        </w:rPr>
        <w:t>W celu zwiększenie efektywności krajowego systemu</w:t>
      </w:r>
      <w:r w:rsidR="001A524B" w:rsidRPr="001A524B">
        <w:t xml:space="preserve"> </w:t>
      </w:r>
      <w:r w:rsidR="001A524B" w:rsidRPr="001A524B">
        <w:rPr>
          <w:rFonts w:cs="Times New Roman"/>
          <w:szCs w:val="24"/>
        </w:rPr>
        <w:t>przeciwdziałania praniu pieniędzy oraz finansowania terroryzmu</w:t>
      </w:r>
      <w:r w:rsidR="001A524B">
        <w:rPr>
          <w:rFonts w:cs="Times New Roman"/>
          <w:szCs w:val="24"/>
        </w:rPr>
        <w:t xml:space="preserve"> p</w:t>
      </w:r>
      <w:r w:rsidR="00782466">
        <w:rPr>
          <w:rFonts w:cs="Times New Roman"/>
          <w:szCs w:val="24"/>
        </w:rPr>
        <w:t>rojekt uwzględnia również</w:t>
      </w:r>
      <w:r w:rsidR="00437686" w:rsidRPr="005942A4">
        <w:rPr>
          <w:rFonts w:cs="Times New Roman"/>
          <w:szCs w:val="24"/>
        </w:rPr>
        <w:t xml:space="preserve"> </w:t>
      </w:r>
      <w:r w:rsidR="00782466">
        <w:rPr>
          <w:rFonts w:cs="Times New Roman"/>
          <w:szCs w:val="24"/>
        </w:rPr>
        <w:t xml:space="preserve">doświadczenia </w:t>
      </w:r>
      <w:r w:rsidR="00A36761">
        <w:rPr>
          <w:rFonts w:cs="Times New Roman"/>
          <w:szCs w:val="24"/>
        </w:rPr>
        <w:t xml:space="preserve">związane ze stosowaniem przepisów ustawy </w:t>
      </w:r>
      <w:r w:rsidR="001A524B">
        <w:rPr>
          <w:rFonts w:cs="Times New Roman"/>
          <w:szCs w:val="24"/>
        </w:rPr>
        <w:t xml:space="preserve">z </w:t>
      </w:r>
      <w:r w:rsidR="00A36761" w:rsidRPr="00A36761">
        <w:rPr>
          <w:rFonts w:cs="Times New Roman"/>
          <w:szCs w:val="24"/>
        </w:rPr>
        <w:t xml:space="preserve">dnia 16 listopada  2000 r. </w:t>
      </w:r>
      <w:r w:rsidR="00A36761" w:rsidRPr="006563D0">
        <w:rPr>
          <w:rFonts w:cs="Times New Roman"/>
          <w:i/>
          <w:szCs w:val="24"/>
        </w:rPr>
        <w:t>o przeciwdziałaniu praniu pieniędzy oraz finansowaniu terroryzmu</w:t>
      </w:r>
      <w:r w:rsidR="00A36761">
        <w:rPr>
          <w:rFonts w:cs="Times New Roman"/>
          <w:szCs w:val="24"/>
        </w:rPr>
        <w:t xml:space="preserve"> (Dz.U. z 2016</w:t>
      </w:r>
      <w:r w:rsidR="00A36761" w:rsidRPr="00A36761">
        <w:rPr>
          <w:rFonts w:cs="Times New Roman"/>
          <w:szCs w:val="24"/>
        </w:rPr>
        <w:t xml:space="preserve"> r. poz.</w:t>
      </w:r>
      <w:r w:rsidR="00A36761">
        <w:rPr>
          <w:rFonts w:cs="Times New Roman"/>
          <w:szCs w:val="24"/>
        </w:rPr>
        <w:t xml:space="preserve"> 299 z późn. zm</w:t>
      </w:r>
      <w:r w:rsidR="001A524B">
        <w:rPr>
          <w:rFonts w:cs="Times New Roman"/>
          <w:szCs w:val="24"/>
        </w:rPr>
        <w:t>.</w:t>
      </w:r>
      <w:r w:rsidR="00A36761" w:rsidRPr="00A36761">
        <w:rPr>
          <w:rFonts w:cs="Times New Roman"/>
          <w:szCs w:val="24"/>
        </w:rPr>
        <w:t>)</w:t>
      </w:r>
      <w:r w:rsidR="001A524B">
        <w:rPr>
          <w:rFonts w:cs="Times New Roman"/>
          <w:szCs w:val="24"/>
        </w:rPr>
        <w:t xml:space="preserve"> (dalej, jako ustawa o p.p.p.f.t.).</w:t>
      </w:r>
    </w:p>
    <w:p w14:paraId="492038C9" w14:textId="76147F69" w:rsidR="0076687D" w:rsidRPr="009F192D" w:rsidRDefault="00FE0EEE" w:rsidP="006563D0">
      <w:pPr>
        <w:spacing w:line="340" w:lineRule="atLeast"/>
        <w:rPr>
          <w:rFonts w:cs="Times New Roman"/>
          <w:szCs w:val="24"/>
        </w:rPr>
      </w:pPr>
      <w:r w:rsidRPr="002E495D">
        <w:rPr>
          <w:rFonts w:cs="Times New Roman"/>
          <w:szCs w:val="24"/>
        </w:rPr>
        <w:t xml:space="preserve">Przy </w:t>
      </w:r>
      <w:r w:rsidR="00F71248">
        <w:rPr>
          <w:rFonts w:cs="Times New Roman"/>
          <w:szCs w:val="24"/>
        </w:rPr>
        <w:t xml:space="preserve">pracach </w:t>
      </w:r>
      <w:r w:rsidRPr="005942A4">
        <w:rPr>
          <w:rFonts w:cs="Times New Roman"/>
          <w:szCs w:val="24"/>
        </w:rPr>
        <w:t>projektow</w:t>
      </w:r>
      <w:r w:rsidR="00F71248">
        <w:rPr>
          <w:rFonts w:cs="Times New Roman"/>
          <w:szCs w:val="24"/>
        </w:rPr>
        <w:t>ych</w:t>
      </w:r>
      <w:r w:rsidRPr="005942A4">
        <w:rPr>
          <w:rFonts w:cs="Times New Roman"/>
          <w:szCs w:val="24"/>
        </w:rPr>
        <w:t xml:space="preserve"> </w:t>
      </w:r>
      <w:r w:rsidRPr="006657A5">
        <w:rPr>
          <w:rFonts w:cs="Times New Roman"/>
          <w:szCs w:val="24"/>
        </w:rPr>
        <w:t>uwzględnion</w:t>
      </w:r>
      <w:r w:rsidR="00D55C40">
        <w:rPr>
          <w:rFonts w:cs="Times New Roman"/>
          <w:szCs w:val="24"/>
        </w:rPr>
        <w:t>o również</w:t>
      </w:r>
      <w:r w:rsidRPr="005942A4">
        <w:rPr>
          <w:rFonts w:cs="Times New Roman"/>
          <w:szCs w:val="24"/>
        </w:rPr>
        <w:t xml:space="preserve"> zalecenia </w:t>
      </w:r>
      <w:r w:rsidR="00D55C40">
        <w:rPr>
          <w:rFonts w:cs="Times New Roman"/>
          <w:szCs w:val="24"/>
        </w:rPr>
        <w:t>kierowane pod adresem krajowego systemu</w:t>
      </w:r>
      <w:r w:rsidR="00807AC0" w:rsidRPr="00807AC0">
        <w:t xml:space="preserve"> </w:t>
      </w:r>
      <w:r w:rsidR="00807AC0" w:rsidRPr="00807AC0">
        <w:rPr>
          <w:rFonts w:cs="Times New Roman"/>
          <w:szCs w:val="24"/>
        </w:rPr>
        <w:t>przeciwdziałania praniu pieniędzy oraz finansowania terroryzmu</w:t>
      </w:r>
      <w:r w:rsidR="00807AC0">
        <w:rPr>
          <w:rFonts w:cs="Times New Roman"/>
          <w:szCs w:val="24"/>
        </w:rPr>
        <w:t xml:space="preserve"> przez </w:t>
      </w:r>
      <w:r w:rsidR="00D55C40">
        <w:rPr>
          <w:rFonts w:cs="Times New Roman"/>
          <w:szCs w:val="24"/>
        </w:rPr>
        <w:t xml:space="preserve"> </w:t>
      </w:r>
      <w:r w:rsidRPr="005942A4">
        <w:rPr>
          <w:rFonts w:cs="Times New Roman"/>
          <w:szCs w:val="24"/>
        </w:rPr>
        <w:t>Komitet</w:t>
      </w:r>
      <w:r w:rsidRPr="006657A5">
        <w:rPr>
          <w:rFonts w:cs="Times New Roman"/>
          <w:szCs w:val="24"/>
        </w:rPr>
        <w:t xml:space="preserve"> Ekspertów ds. Oceny Środków Zapobiegania Praniu Pieniędzy i Finansowaniu Terroryzmu – MONEYVAL</w:t>
      </w:r>
      <w:r w:rsidR="00807AC0">
        <w:rPr>
          <w:rFonts w:cs="Times New Roman"/>
          <w:szCs w:val="24"/>
        </w:rPr>
        <w:t xml:space="preserve">, zawarte </w:t>
      </w:r>
      <w:r w:rsidRPr="005942A4">
        <w:rPr>
          <w:rFonts w:cs="Times New Roman"/>
          <w:szCs w:val="24"/>
        </w:rPr>
        <w:t xml:space="preserve">w raporcie </w:t>
      </w:r>
      <w:r w:rsidR="00807AC0">
        <w:rPr>
          <w:rFonts w:cs="Times New Roman"/>
          <w:szCs w:val="24"/>
        </w:rPr>
        <w:t>z  przeprowadzonej w 2013 r.</w:t>
      </w:r>
      <w:r w:rsidRPr="005942A4">
        <w:rPr>
          <w:rFonts w:cs="Times New Roman"/>
          <w:szCs w:val="24"/>
        </w:rPr>
        <w:t xml:space="preserve"> ewaluacji polskiego systemu przeciwdziałania praniu pieniędzy oraz finansowaniu terroryzmu</w:t>
      </w:r>
      <w:r w:rsidRPr="009F192D">
        <w:rPr>
          <w:rFonts w:cs="Times New Roman"/>
          <w:szCs w:val="24"/>
        </w:rPr>
        <w:t>.</w:t>
      </w:r>
    </w:p>
    <w:p w14:paraId="75D8221C" w14:textId="1517C829" w:rsidR="00E57D1B" w:rsidRPr="00207355" w:rsidRDefault="00660658" w:rsidP="006563D0">
      <w:pPr>
        <w:spacing w:line="340" w:lineRule="atLeast"/>
        <w:rPr>
          <w:rFonts w:cs="Times New Roman"/>
          <w:szCs w:val="24"/>
        </w:rPr>
      </w:pPr>
      <w:r w:rsidRPr="005942A4">
        <w:rPr>
          <w:rFonts w:cs="Times New Roman"/>
          <w:szCs w:val="24"/>
        </w:rPr>
        <w:t>W</w:t>
      </w:r>
      <w:r w:rsidR="00982D33">
        <w:rPr>
          <w:rFonts w:cs="Times New Roman"/>
          <w:szCs w:val="24"/>
        </w:rPr>
        <w:t xml:space="preserve"> </w:t>
      </w:r>
      <w:r w:rsidRPr="006657A5">
        <w:rPr>
          <w:rFonts w:cs="Times New Roman"/>
          <w:szCs w:val="24"/>
        </w:rPr>
        <w:t xml:space="preserve">art. 1 </w:t>
      </w:r>
      <w:r w:rsidR="00982D33">
        <w:rPr>
          <w:rFonts w:cs="Times New Roman"/>
          <w:szCs w:val="24"/>
        </w:rPr>
        <w:t xml:space="preserve">określono zakres przedmiotowy projektu </w:t>
      </w:r>
      <w:r w:rsidR="00E57D1B" w:rsidRPr="006657A5">
        <w:rPr>
          <w:rFonts w:cs="Times New Roman"/>
          <w:szCs w:val="24"/>
        </w:rPr>
        <w:t>ustawy,</w:t>
      </w:r>
      <w:r w:rsidR="00982D33">
        <w:rPr>
          <w:rFonts w:cs="Times New Roman"/>
          <w:szCs w:val="24"/>
        </w:rPr>
        <w:t xml:space="preserve"> wskazując w </w:t>
      </w:r>
      <w:r w:rsidR="00573F72">
        <w:rPr>
          <w:rFonts w:cs="Times New Roman"/>
          <w:szCs w:val="24"/>
        </w:rPr>
        <w:t>szczególności</w:t>
      </w:r>
      <w:r w:rsidR="00E57D1B" w:rsidRPr="009F192D">
        <w:rPr>
          <w:rFonts w:cs="Times New Roman"/>
          <w:szCs w:val="24"/>
        </w:rPr>
        <w:t>:</w:t>
      </w:r>
    </w:p>
    <w:p w14:paraId="7FA18733" w14:textId="09C86E0E" w:rsidR="00E57D1B" w:rsidRPr="00257A48" w:rsidRDefault="00E57D1B" w:rsidP="006563D0">
      <w:pPr>
        <w:pStyle w:val="Akapitzlist"/>
        <w:numPr>
          <w:ilvl w:val="0"/>
          <w:numId w:val="27"/>
        </w:numPr>
        <w:spacing w:line="340" w:lineRule="atLeast"/>
        <w:rPr>
          <w:rFonts w:cs="Times New Roman"/>
          <w:szCs w:val="24"/>
        </w:rPr>
      </w:pPr>
      <w:r w:rsidRPr="002E495D">
        <w:rPr>
          <w:rFonts w:cs="Times New Roman"/>
          <w:szCs w:val="24"/>
        </w:rPr>
        <w:t>zasady dokonywania oceny ryzyka prania pieniędzy lub finansowania terroryzmu,</w:t>
      </w:r>
    </w:p>
    <w:p w14:paraId="72CCB978" w14:textId="6932B24D" w:rsidR="00E57D1B" w:rsidRPr="006563D0" w:rsidRDefault="00E57D1B" w:rsidP="006563D0">
      <w:pPr>
        <w:pStyle w:val="Akapitzlist"/>
        <w:numPr>
          <w:ilvl w:val="0"/>
          <w:numId w:val="27"/>
        </w:numPr>
        <w:spacing w:line="340" w:lineRule="atLeast"/>
        <w:rPr>
          <w:rFonts w:cs="Times New Roman"/>
          <w:szCs w:val="24"/>
        </w:rPr>
      </w:pPr>
      <w:r w:rsidRPr="006563D0">
        <w:rPr>
          <w:rFonts w:cs="Times New Roman"/>
          <w:szCs w:val="24"/>
        </w:rPr>
        <w:t>zasady stosowania środków bezpieczeństwa finansowego i realizacji innych obowiązków instytucji obowiązanych,</w:t>
      </w:r>
    </w:p>
    <w:p w14:paraId="59913B6E" w14:textId="4D75868B" w:rsidR="00E57D1B" w:rsidRPr="006563D0" w:rsidRDefault="00E57D1B" w:rsidP="006563D0">
      <w:pPr>
        <w:pStyle w:val="Akapitzlist"/>
        <w:numPr>
          <w:ilvl w:val="0"/>
          <w:numId w:val="27"/>
        </w:numPr>
        <w:spacing w:line="340" w:lineRule="atLeast"/>
        <w:rPr>
          <w:rFonts w:cs="Times New Roman"/>
          <w:szCs w:val="24"/>
        </w:rPr>
      </w:pPr>
      <w:r w:rsidRPr="006563D0">
        <w:rPr>
          <w:rFonts w:cs="Times New Roman"/>
          <w:szCs w:val="24"/>
        </w:rPr>
        <w:t xml:space="preserve">zasady gromadzenia, udostępniania i ochrony informacji przez organy informacji finansowej, </w:t>
      </w:r>
    </w:p>
    <w:p w14:paraId="33A1C660" w14:textId="1DD93194" w:rsidR="00E57D1B" w:rsidRPr="006563D0" w:rsidRDefault="00E57D1B" w:rsidP="006563D0">
      <w:pPr>
        <w:pStyle w:val="Akapitzlist"/>
        <w:numPr>
          <w:ilvl w:val="0"/>
          <w:numId w:val="27"/>
        </w:numPr>
        <w:spacing w:line="340" w:lineRule="atLeast"/>
        <w:rPr>
          <w:rFonts w:cs="Times New Roman"/>
          <w:szCs w:val="24"/>
        </w:rPr>
      </w:pPr>
      <w:r w:rsidRPr="006563D0">
        <w:rPr>
          <w:rFonts w:cs="Times New Roman"/>
          <w:szCs w:val="24"/>
        </w:rPr>
        <w:t>zasady oraz tryb przeprowadzania procedury blokady rachunku lub wstrzymania transakcji,</w:t>
      </w:r>
    </w:p>
    <w:p w14:paraId="60441B6D" w14:textId="48AFA1AC" w:rsidR="00E57D1B" w:rsidRPr="006563D0" w:rsidRDefault="00E57D1B" w:rsidP="006563D0">
      <w:pPr>
        <w:pStyle w:val="Akapitzlist"/>
        <w:numPr>
          <w:ilvl w:val="0"/>
          <w:numId w:val="27"/>
        </w:numPr>
        <w:spacing w:line="340" w:lineRule="atLeast"/>
        <w:rPr>
          <w:rFonts w:cs="Times New Roman"/>
          <w:szCs w:val="24"/>
        </w:rPr>
      </w:pPr>
      <w:r w:rsidRPr="006563D0">
        <w:rPr>
          <w:rFonts w:cs="Times New Roman"/>
          <w:szCs w:val="24"/>
        </w:rPr>
        <w:t>zasady oraz tryb prowadzenia kontroli wypełniania określonych w ustawie obowiązków instytucji obowiązanych,</w:t>
      </w:r>
    </w:p>
    <w:p w14:paraId="2FDD1A89" w14:textId="121D99C4" w:rsidR="00E57D1B" w:rsidRPr="006563D0" w:rsidRDefault="00E57D1B" w:rsidP="006563D0">
      <w:pPr>
        <w:pStyle w:val="Akapitzlist"/>
        <w:numPr>
          <w:ilvl w:val="0"/>
          <w:numId w:val="27"/>
        </w:numPr>
        <w:spacing w:line="340" w:lineRule="atLeast"/>
        <w:rPr>
          <w:rFonts w:cs="Times New Roman"/>
          <w:szCs w:val="24"/>
        </w:rPr>
      </w:pPr>
      <w:r w:rsidRPr="006563D0">
        <w:rPr>
          <w:rFonts w:cs="Times New Roman"/>
          <w:szCs w:val="24"/>
        </w:rPr>
        <w:lastRenderedPageBreak/>
        <w:t>sankcje administracyjne przewidziane za naruszenie obowiązków instytucji obowiązanych określonych w ustawie,</w:t>
      </w:r>
    </w:p>
    <w:p w14:paraId="06B5A59E" w14:textId="41A9C872" w:rsidR="00543014" w:rsidRPr="006563D0" w:rsidRDefault="00E57D1B" w:rsidP="006563D0">
      <w:pPr>
        <w:pStyle w:val="Akapitzlist"/>
        <w:numPr>
          <w:ilvl w:val="0"/>
          <w:numId w:val="27"/>
        </w:numPr>
        <w:spacing w:line="340" w:lineRule="atLeast"/>
        <w:rPr>
          <w:rFonts w:cs="Times New Roman"/>
          <w:szCs w:val="24"/>
        </w:rPr>
      </w:pPr>
      <w:r w:rsidRPr="006563D0">
        <w:rPr>
          <w:rFonts w:cs="Times New Roman"/>
          <w:szCs w:val="24"/>
        </w:rPr>
        <w:t>zasady oraz tryb stosowania szczególnych środków ograniczających przeciwko osobom, grupom i podmiotom.</w:t>
      </w:r>
    </w:p>
    <w:p w14:paraId="65672957" w14:textId="2554CD46" w:rsidR="00E57D1B" w:rsidRPr="009F192D" w:rsidRDefault="00573F72" w:rsidP="006563D0">
      <w:pPr>
        <w:spacing w:line="340" w:lineRule="atLeast"/>
        <w:rPr>
          <w:rFonts w:cs="Times New Roman"/>
          <w:szCs w:val="24"/>
        </w:rPr>
      </w:pPr>
      <w:r>
        <w:rPr>
          <w:rFonts w:cs="Times New Roman"/>
          <w:szCs w:val="24"/>
        </w:rPr>
        <w:t>A</w:t>
      </w:r>
      <w:r w:rsidR="00E57D1B" w:rsidRPr="006657A5">
        <w:rPr>
          <w:rFonts w:cs="Times New Roman"/>
          <w:szCs w:val="24"/>
        </w:rPr>
        <w:t>rt.</w:t>
      </w:r>
      <w:r w:rsidR="00587051" w:rsidRPr="009F192D">
        <w:rPr>
          <w:rFonts w:cs="Times New Roman"/>
          <w:szCs w:val="24"/>
        </w:rPr>
        <w:t xml:space="preserve"> </w:t>
      </w:r>
      <w:r w:rsidR="00E57D1B" w:rsidRPr="00207355">
        <w:rPr>
          <w:rFonts w:cs="Times New Roman"/>
          <w:szCs w:val="24"/>
        </w:rPr>
        <w:t>2</w:t>
      </w:r>
      <w:r w:rsidR="0015231B">
        <w:rPr>
          <w:rFonts w:cs="Times New Roman"/>
          <w:szCs w:val="24"/>
        </w:rPr>
        <w:t xml:space="preserve"> ust. 1</w:t>
      </w:r>
      <w:r>
        <w:rPr>
          <w:rFonts w:cs="Times New Roman"/>
          <w:szCs w:val="24"/>
        </w:rPr>
        <w:t xml:space="preserve"> zawiera katalog instytucji obowiązanych</w:t>
      </w:r>
      <w:r w:rsidR="00E57D1B" w:rsidRPr="009F192D">
        <w:rPr>
          <w:rFonts w:cs="Times New Roman"/>
          <w:szCs w:val="24"/>
        </w:rPr>
        <w:t xml:space="preserve">. Podstawowe zmiany w odniesieniu do przepisów ustawy </w:t>
      </w:r>
      <w:r>
        <w:rPr>
          <w:rFonts w:cs="Times New Roman"/>
          <w:szCs w:val="24"/>
        </w:rPr>
        <w:t xml:space="preserve">o </w:t>
      </w:r>
      <w:r w:rsidRPr="00573F72">
        <w:rPr>
          <w:rFonts w:cs="Times New Roman"/>
          <w:szCs w:val="24"/>
        </w:rPr>
        <w:t>p.p.p.f.t.</w:t>
      </w:r>
      <w:r>
        <w:rPr>
          <w:rFonts w:cs="Times New Roman"/>
          <w:szCs w:val="24"/>
        </w:rPr>
        <w:t xml:space="preserve"> </w:t>
      </w:r>
      <w:r w:rsidR="00E57D1B" w:rsidRPr="006657A5">
        <w:rPr>
          <w:rFonts w:cs="Times New Roman"/>
          <w:szCs w:val="24"/>
        </w:rPr>
        <w:t>w tym zakresie to:</w:t>
      </w:r>
    </w:p>
    <w:p w14:paraId="32454D10" w14:textId="3C8C9A91" w:rsidR="008A39B2" w:rsidRPr="009F192D" w:rsidRDefault="00573F72" w:rsidP="006563D0">
      <w:pPr>
        <w:pStyle w:val="Akapitzlist"/>
        <w:numPr>
          <w:ilvl w:val="0"/>
          <w:numId w:val="30"/>
        </w:numPr>
        <w:spacing w:line="340" w:lineRule="atLeast"/>
        <w:ind w:left="709" w:hanging="284"/>
        <w:rPr>
          <w:rFonts w:cs="Times New Roman"/>
          <w:szCs w:val="24"/>
        </w:rPr>
      </w:pPr>
      <w:r>
        <w:rPr>
          <w:rFonts w:cs="Times New Roman"/>
          <w:szCs w:val="24"/>
        </w:rPr>
        <w:t xml:space="preserve"> nadanie statusu instytucji obowiązanej </w:t>
      </w:r>
      <w:r w:rsidR="008A39B2" w:rsidRPr="006563D0">
        <w:rPr>
          <w:rFonts w:cs="Times New Roman"/>
          <w:szCs w:val="24"/>
        </w:rPr>
        <w:t>przedsiębiorc</w:t>
      </w:r>
      <w:r>
        <w:rPr>
          <w:rFonts w:cs="Times New Roman"/>
          <w:szCs w:val="24"/>
        </w:rPr>
        <w:t>om</w:t>
      </w:r>
      <w:r w:rsidR="008A39B2" w:rsidRPr="006657A5">
        <w:rPr>
          <w:rFonts w:cs="Times New Roman"/>
          <w:szCs w:val="24"/>
        </w:rPr>
        <w:t xml:space="preserve"> w rozumieniu </w:t>
      </w:r>
      <w:r w:rsidR="008A39B2" w:rsidRPr="009F192D">
        <w:rPr>
          <w:rFonts w:cs="Times New Roman"/>
          <w:i/>
          <w:szCs w:val="24"/>
        </w:rPr>
        <w:t xml:space="preserve">ustawy z dnia 2 lipca 2004 r. o </w:t>
      </w:r>
      <w:r w:rsidR="008A39B2" w:rsidRPr="00207355">
        <w:rPr>
          <w:rFonts w:cs="Times New Roman"/>
          <w:i/>
          <w:szCs w:val="24"/>
        </w:rPr>
        <w:t>swobodzie działalności gospodarczej</w:t>
      </w:r>
      <w:r w:rsidR="008A39B2" w:rsidRPr="002E495D">
        <w:rPr>
          <w:rFonts w:cs="Times New Roman"/>
          <w:szCs w:val="24"/>
        </w:rPr>
        <w:t xml:space="preserve"> (Dz. U. z 2015 r. poz. 584, z późn. zm.), niebędący</w:t>
      </w:r>
      <w:r>
        <w:rPr>
          <w:rFonts w:cs="Times New Roman"/>
          <w:szCs w:val="24"/>
        </w:rPr>
        <w:t>m</w:t>
      </w:r>
      <w:r w:rsidR="008A39B2" w:rsidRPr="006657A5">
        <w:rPr>
          <w:rFonts w:cs="Times New Roman"/>
          <w:szCs w:val="24"/>
        </w:rPr>
        <w:t xml:space="preserve"> innymi instytucjami obowiązanymi, świadczący</w:t>
      </w:r>
      <w:r>
        <w:rPr>
          <w:rFonts w:cs="Times New Roman"/>
          <w:szCs w:val="24"/>
        </w:rPr>
        <w:t>m</w:t>
      </w:r>
      <w:r w:rsidR="008A39B2" w:rsidRPr="006657A5">
        <w:rPr>
          <w:rFonts w:cs="Times New Roman"/>
          <w:szCs w:val="24"/>
        </w:rPr>
        <w:t xml:space="preserve"> usługi polegające na:</w:t>
      </w:r>
    </w:p>
    <w:p w14:paraId="27AA2ED6" w14:textId="46554FDF" w:rsidR="008A39B2" w:rsidRPr="00257A48" w:rsidRDefault="00751803" w:rsidP="006563D0">
      <w:pPr>
        <w:spacing w:line="340" w:lineRule="atLeast"/>
        <w:ind w:left="1134" w:hanging="425"/>
        <w:rPr>
          <w:rFonts w:cs="Times New Roman"/>
          <w:szCs w:val="24"/>
        </w:rPr>
      </w:pPr>
      <w:r w:rsidRPr="00207355">
        <w:rPr>
          <w:rFonts w:cs="Times New Roman"/>
          <w:szCs w:val="24"/>
        </w:rPr>
        <w:t xml:space="preserve">a)  </w:t>
      </w:r>
      <w:r w:rsidR="00FE118B" w:rsidRPr="002E495D">
        <w:rPr>
          <w:rFonts w:cs="Times New Roman"/>
          <w:szCs w:val="24"/>
        </w:rPr>
        <w:tab/>
        <w:t>t</w:t>
      </w:r>
      <w:r w:rsidR="008A39B2" w:rsidRPr="00257A48">
        <w:rPr>
          <w:rFonts w:cs="Times New Roman"/>
          <w:szCs w:val="24"/>
        </w:rPr>
        <w:t>worzeniu spółek lub innych osób prawnych,</w:t>
      </w:r>
    </w:p>
    <w:p w14:paraId="46D3A148" w14:textId="5A9C9DA7" w:rsidR="008A39B2" w:rsidRPr="006563D0" w:rsidRDefault="00751803" w:rsidP="006563D0">
      <w:pPr>
        <w:spacing w:line="340" w:lineRule="atLeast"/>
        <w:ind w:left="1134" w:hanging="425"/>
        <w:rPr>
          <w:rFonts w:cs="Times New Roman"/>
          <w:szCs w:val="24"/>
        </w:rPr>
      </w:pPr>
      <w:r w:rsidRPr="006563D0">
        <w:rPr>
          <w:rFonts w:cs="Times New Roman"/>
          <w:szCs w:val="24"/>
        </w:rPr>
        <w:t xml:space="preserve">b) </w:t>
      </w:r>
      <w:r w:rsidRPr="006563D0">
        <w:rPr>
          <w:rFonts w:cs="Times New Roman"/>
          <w:szCs w:val="24"/>
        </w:rPr>
        <w:tab/>
      </w:r>
      <w:r w:rsidR="008A39B2" w:rsidRPr="006563D0">
        <w:rPr>
          <w:rFonts w:cs="Times New Roman"/>
          <w:szCs w:val="24"/>
        </w:rPr>
        <w:t>działaniu w charakterze dyrektora lub sekretarza spółki, wspólnika spółki osobowej lub na podobnym stanowisku w stosunku do innych osób prawnych lub organizowanie dla innej osoby możliwości działania w charakterze tych osób,</w:t>
      </w:r>
    </w:p>
    <w:p w14:paraId="3FDF2352" w14:textId="4558FE69" w:rsidR="008A39B2" w:rsidRPr="006563D0" w:rsidRDefault="00751803" w:rsidP="006563D0">
      <w:pPr>
        <w:spacing w:line="340" w:lineRule="atLeast"/>
        <w:ind w:left="1134" w:hanging="425"/>
        <w:rPr>
          <w:rFonts w:cs="Times New Roman"/>
          <w:szCs w:val="24"/>
        </w:rPr>
      </w:pPr>
      <w:r w:rsidRPr="006563D0">
        <w:rPr>
          <w:rFonts w:cs="Times New Roman"/>
          <w:szCs w:val="24"/>
        </w:rPr>
        <w:t xml:space="preserve">c) </w:t>
      </w:r>
      <w:r w:rsidRPr="006563D0">
        <w:rPr>
          <w:rFonts w:cs="Times New Roman"/>
          <w:szCs w:val="24"/>
        </w:rPr>
        <w:tab/>
      </w:r>
      <w:r w:rsidR="008A39B2" w:rsidRPr="006563D0">
        <w:rPr>
          <w:rFonts w:cs="Times New Roman"/>
          <w:szCs w:val="24"/>
        </w:rPr>
        <w:t>zapewnianiu siedziby statutowej, adresu działalności, adresu korespondencyjnego lub administracyjnego i innych pokrewnych usług dla przedsiębiorstwa, spółki osobowej lub dowolnej innej osoby prawnej lub porozumienia prawnego,</w:t>
      </w:r>
    </w:p>
    <w:p w14:paraId="6E5AC44C" w14:textId="0224EDD2" w:rsidR="008A39B2" w:rsidRPr="006563D0" w:rsidRDefault="00751803" w:rsidP="006563D0">
      <w:pPr>
        <w:spacing w:line="340" w:lineRule="atLeast"/>
        <w:ind w:left="1134" w:hanging="425"/>
        <w:rPr>
          <w:rFonts w:cs="Times New Roman"/>
          <w:szCs w:val="24"/>
        </w:rPr>
      </w:pPr>
      <w:r w:rsidRPr="006563D0">
        <w:rPr>
          <w:rFonts w:cs="Times New Roman"/>
          <w:szCs w:val="24"/>
        </w:rPr>
        <w:t xml:space="preserve">d) </w:t>
      </w:r>
      <w:r w:rsidRPr="006563D0">
        <w:rPr>
          <w:rFonts w:cs="Times New Roman"/>
          <w:szCs w:val="24"/>
        </w:rPr>
        <w:tab/>
      </w:r>
      <w:r w:rsidR="008A39B2" w:rsidRPr="006563D0">
        <w:rPr>
          <w:rFonts w:cs="Times New Roman"/>
          <w:szCs w:val="24"/>
        </w:rPr>
        <w:t>działaniu w charakterze powiernika trustu, który powstał w drodze czynności prawnej, lub podobnego porozumienia prawnego lub organizowanie dla innej osoby możliwości działania w takim charakterze,</w:t>
      </w:r>
    </w:p>
    <w:p w14:paraId="48D4B726" w14:textId="531631C9" w:rsidR="008A39B2" w:rsidRPr="009F192D" w:rsidRDefault="00751803" w:rsidP="006563D0">
      <w:pPr>
        <w:spacing w:line="340" w:lineRule="atLeast"/>
        <w:ind w:left="1134" w:hanging="425"/>
        <w:rPr>
          <w:rFonts w:cs="Times New Roman"/>
          <w:szCs w:val="24"/>
        </w:rPr>
      </w:pPr>
      <w:r w:rsidRPr="006563D0">
        <w:rPr>
          <w:rFonts w:cs="Times New Roman"/>
          <w:szCs w:val="24"/>
        </w:rPr>
        <w:t xml:space="preserve">e) </w:t>
      </w:r>
      <w:r w:rsidRPr="006563D0">
        <w:rPr>
          <w:rFonts w:cs="Times New Roman"/>
          <w:szCs w:val="24"/>
        </w:rPr>
        <w:tab/>
      </w:r>
      <w:r w:rsidR="008A39B2" w:rsidRPr="006563D0">
        <w:rPr>
          <w:rFonts w:cs="Times New Roman"/>
          <w:szCs w:val="24"/>
        </w:rPr>
        <w:t>działaniu w charakterze osoby wykonującej prawa z akcji lub udziałów na rzecz innej osoby, innej niż spółka notowana na rynku regulowanym podlegającej wymogom dotyczącym ujawniania informacji zgodnie z prawem UE lub podlegająca równoważnym standardom międzynarodowym, lub organizowaniu dla innej osoby możliwości działania w takim charakterze</w:t>
      </w:r>
      <w:r w:rsidR="0046115A">
        <w:rPr>
          <w:rFonts w:cs="Times New Roman"/>
          <w:szCs w:val="24"/>
        </w:rPr>
        <w:t>;</w:t>
      </w:r>
    </w:p>
    <w:p w14:paraId="73A11A66" w14:textId="27C5611A" w:rsidR="008A39B2" w:rsidRPr="009F192D" w:rsidRDefault="008A39B2" w:rsidP="006563D0">
      <w:pPr>
        <w:pStyle w:val="Akapitzlist"/>
        <w:numPr>
          <w:ilvl w:val="0"/>
          <w:numId w:val="30"/>
        </w:numPr>
        <w:spacing w:line="340" w:lineRule="atLeast"/>
        <w:rPr>
          <w:rFonts w:cs="Times New Roman"/>
          <w:szCs w:val="24"/>
        </w:rPr>
      </w:pPr>
      <w:r w:rsidRPr="006657A5">
        <w:rPr>
          <w:rFonts w:cs="Times New Roman"/>
          <w:szCs w:val="24"/>
        </w:rPr>
        <w:t xml:space="preserve"> </w:t>
      </w:r>
      <w:r w:rsidR="00573F72" w:rsidRPr="00573F72">
        <w:rPr>
          <w:rFonts w:cs="Times New Roman"/>
          <w:szCs w:val="24"/>
        </w:rPr>
        <w:t xml:space="preserve">nadanie statusu instytucji obowiązanej </w:t>
      </w:r>
      <w:r w:rsidRPr="006657A5">
        <w:rPr>
          <w:rFonts w:cs="Times New Roman"/>
          <w:szCs w:val="24"/>
        </w:rPr>
        <w:t>podmiot</w:t>
      </w:r>
      <w:r w:rsidR="00573F72">
        <w:rPr>
          <w:rFonts w:cs="Times New Roman"/>
          <w:szCs w:val="24"/>
        </w:rPr>
        <w:t>om</w:t>
      </w:r>
      <w:r w:rsidRPr="006657A5">
        <w:rPr>
          <w:rFonts w:cs="Times New Roman"/>
          <w:szCs w:val="24"/>
        </w:rPr>
        <w:t xml:space="preserve"> prowadząc</w:t>
      </w:r>
      <w:r w:rsidR="00573F72">
        <w:rPr>
          <w:rFonts w:cs="Times New Roman"/>
          <w:szCs w:val="24"/>
        </w:rPr>
        <w:t>ym</w:t>
      </w:r>
      <w:r w:rsidRPr="006657A5">
        <w:rPr>
          <w:rFonts w:cs="Times New Roman"/>
          <w:szCs w:val="24"/>
        </w:rPr>
        <w:t xml:space="preserve"> działalność gospodarczą poprzez świadczenie usług w zakresie:</w:t>
      </w:r>
    </w:p>
    <w:p w14:paraId="067EAB27" w14:textId="5DF0390C" w:rsidR="008A39B2" w:rsidRPr="002E495D" w:rsidRDefault="008A39B2" w:rsidP="006563D0">
      <w:pPr>
        <w:pStyle w:val="Akapitzlist"/>
        <w:numPr>
          <w:ilvl w:val="0"/>
          <w:numId w:val="40"/>
        </w:numPr>
        <w:spacing w:line="340" w:lineRule="atLeast"/>
        <w:ind w:left="1134"/>
        <w:rPr>
          <w:rFonts w:cs="Times New Roman"/>
          <w:szCs w:val="24"/>
        </w:rPr>
      </w:pPr>
      <w:r w:rsidRPr="00207355">
        <w:rPr>
          <w:rFonts w:cs="Times New Roman"/>
          <w:szCs w:val="24"/>
        </w:rPr>
        <w:t>wymiany pomiędzy walutami wirtualnymi i środkami płatniczymi,</w:t>
      </w:r>
    </w:p>
    <w:p w14:paraId="4478A074" w14:textId="7B290D09" w:rsidR="008A39B2" w:rsidRPr="00257A48" w:rsidRDefault="008A39B2" w:rsidP="006563D0">
      <w:pPr>
        <w:pStyle w:val="Akapitzlist"/>
        <w:numPr>
          <w:ilvl w:val="0"/>
          <w:numId w:val="40"/>
        </w:numPr>
        <w:spacing w:line="340" w:lineRule="atLeast"/>
        <w:ind w:left="1134"/>
        <w:rPr>
          <w:rFonts w:cs="Times New Roman"/>
          <w:szCs w:val="24"/>
        </w:rPr>
      </w:pPr>
      <w:r w:rsidRPr="00257A48">
        <w:rPr>
          <w:rFonts w:cs="Times New Roman"/>
          <w:szCs w:val="24"/>
        </w:rPr>
        <w:t>wymiany pomiędzy poszczególnymi walutami wirtualnymi,</w:t>
      </w:r>
    </w:p>
    <w:p w14:paraId="21BE1612" w14:textId="1F17CB73" w:rsidR="00631F85" w:rsidRPr="006563D0" w:rsidRDefault="008A39B2" w:rsidP="006563D0">
      <w:pPr>
        <w:pStyle w:val="Akapitzlist"/>
        <w:numPr>
          <w:ilvl w:val="0"/>
          <w:numId w:val="40"/>
        </w:numPr>
        <w:spacing w:line="340" w:lineRule="atLeast"/>
        <w:ind w:left="1134"/>
        <w:rPr>
          <w:rFonts w:cs="Times New Roman"/>
          <w:szCs w:val="24"/>
        </w:rPr>
      </w:pPr>
      <w:r w:rsidRPr="006563D0">
        <w:rPr>
          <w:rFonts w:cs="Times New Roman"/>
          <w:szCs w:val="24"/>
        </w:rPr>
        <w:t>przechowywania danych identyfikacyjnych, zapewniających klientom dostęp do jednostek walut wirtualnych oraz korzystanie z nich zgodnie z zasadami przewidzianymi dla danego rodzaju waluty wirtualnej</w:t>
      </w:r>
      <w:r w:rsidR="00631F85" w:rsidRPr="006563D0">
        <w:rPr>
          <w:rFonts w:cs="Times New Roman"/>
          <w:szCs w:val="24"/>
        </w:rPr>
        <w:t>,</w:t>
      </w:r>
    </w:p>
    <w:p w14:paraId="1F3DE4ED" w14:textId="7416CBD2" w:rsidR="008A39B2" w:rsidRPr="009F192D" w:rsidRDefault="00631F85" w:rsidP="006563D0">
      <w:pPr>
        <w:spacing w:line="340" w:lineRule="atLeast"/>
        <w:ind w:left="709"/>
        <w:rPr>
          <w:rFonts w:cs="Times New Roman"/>
          <w:szCs w:val="24"/>
        </w:rPr>
      </w:pPr>
      <w:r w:rsidRPr="006563D0">
        <w:rPr>
          <w:rFonts w:cs="Times New Roman"/>
          <w:szCs w:val="24"/>
        </w:rPr>
        <w:t>z wyłączeniem podmiotów świadczących te usługi wyłącznie w zakresie walut wirtualnych używanych jedynie w grach komputerowych</w:t>
      </w:r>
      <w:r w:rsidR="0046115A">
        <w:rPr>
          <w:rFonts w:cs="Times New Roman"/>
          <w:szCs w:val="24"/>
        </w:rPr>
        <w:t>;</w:t>
      </w:r>
    </w:p>
    <w:p w14:paraId="320322EE" w14:textId="37778759" w:rsidR="008A39B2" w:rsidRPr="002E495D" w:rsidRDefault="0046115A" w:rsidP="006563D0">
      <w:pPr>
        <w:pStyle w:val="Akapitzlist"/>
        <w:numPr>
          <w:ilvl w:val="0"/>
          <w:numId w:val="30"/>
        </w:numPr>
        <w:spacing w:line="340" w:lineRule="atLeast"/>
        <w:rPr>
          <w:rFonts w:cs="Times New Roman"/>
          <w:szCs w:val="24"/>
        </w:rPr>
      </w:pPr>
      <w:r>
        <w:rPr>
          <w:rFonts w:cs="Times New Roman"/>
          <w:szCs w:val="24"/>
        </w:rPr>
        <w:t>ustanowienie progu transakcji gotówkowych przyjmowanych lub dokonywanych przez</w:t>
      </w:r>
      <w:r w:rsidR="00776F39" w:rsidRPr="006657A5">
        <w:rPr>
          <w:rFonts w:cs="Times New Roman"/>
          <w:szCs w:val="24"/>
        </w:rPr>
        <w:t xml:space="preserve"> </w:t>
      </w:r>
      <w:r w:rsidR="00776F39" w:rsidRPr="00207355">
        <w:rPr>
          <w:rFonts w:cs="Times New Roman"/>
          <w:szCs w:val="24"/>
        </w:rPr>
        <w:t xml:space="preserve">przedsiębiorców w rozumieniu </w:t>
      </w:r>
      <w:r w:rsidR="00776F39" w:rsidRPr="002E495D">
        <w:rPr>
          <w:rFonts w:cs="Times New Roman"/>
          <w:i/>
          <w:szCs w:val="24"/>
        </w:rPr>
        <w:t>ustawy o swobodzie działalności gospodarczej</w:t>
      </w:r>
      <w:r w:rsidR="00776F39" w:rsidRPr="00257A48">
        <w:rPr>
          <w:rFonts w:cs="Times New Roman"/>
          <w:szCs w:val="24"/>
        </w:rPr>
        <w:t xml:space="preserve">, </w:t>
      </w:r>
      <w:r w:rsidR="00776F39" w:rsidRPr="006563D0">
        <w:rPr>
          <w:rFonts w:cs="Times New Roman"/>
          <w:szCs w:val="24"/>
        </w:rPr>
        <w:t xml:space="preserve">za towary </w:t>
      </w:r>
      <w:r>
        <w:rPr>
          <w:rFonts w:cs="Times New Roman"/>
          <w:szCs w:val="24"/>
        </w:rPr>
        <w:t xml:space="preserve">na poziomie równym </w:t>
      </w:r>
      <w:r w:rsidR="00751803" w:rsidRPr="006563D0">
        <w:rPr>
          <w:rFonts w:cs="Times New Roman"/>
          <w:szCs w:val="24"/>
        </w:rPr>
        <w:t>równowartoś</w:t>
      </w:r>
      <w:r>
        <w:rPr>
          <w:rFonts w:cs="Times New Roman"/>
          <w:szCs w:val="24"/>
        </w:rPr>
        <w:t>ci</w:t>
      </w:r>
      <w:r w:rsidR="00751803" w:rsidRPr="006657A5">
        <w:rPr>
          <w:rFonts w:cs="Times New Roman"/>
          <w:szCs w:val="24"/>
        </w:rPr>
        <w:t xml:space="preserve"> 10 </w:t>
      </w:r>
      <w:r w:rsidR="00776F39" w:rsidRPr="009F192D">
        <w:rPr>
          <w:rFonts w:cs="Times New Roman"/>
          <w:szCs w:val="24"/>
        </w:rPr>
        <w:t>000 euro</w:t>
      </w:r>
      <w:r>
        <w:rPr>
          <w:rFonts w:cs="Times New Roman"/>
          <w:szCs w:val="24"/>
        </w:rPr>
        <w:t>;</w:t>
      </w:r>
    </w:p>
    <w:p w14:paraId="244211FF" w14:textId="01CDA78B" w:rsidR="00751803" w:rsidRPr="006657A5" w:rsidRDefault="00587051" w:rsidP="006563D0">
      <w:pPr>
        <w:pStyle w:val="Akapitzlist"/>
        <w:numPr>
          <w:ilvl w:val="0"/>
          <w:numId w:val="30"/>
        </w:numPr>
        <w:spacing w:line="340" w:lineRule="atLeast"/>
        <w:rPr>
          <w:rFonts w:cs="Times New Roman"/>
          <w:szCs w:val="24"/>
        </w:rPr>
      </w:pPr>
      <w:r w:rsidRPr="00257A48">
        <w:rPr>
          <w:rFonts w:cs="Times New Roman"/>
          <w:szCs w:val="24"/>
        </w:rPr>
        <w:lastRenderedPageBreak/>
        <w:t xml:space="preserve"> </w:t>
      </w:r>
      <w:r w:rsidR="0046115A">
        <w:rPr>
          <w:rFonts w:cs="Times New Roman"/>
          <w:szCs w:val="24"/>
        </w:rPr>
        <w:t>do</w:t>
      </w:r>
      <w:r w:rsidRPr="005942A4">
        <w:rPr>
          <w:rFonts w:cs="Times New Roman"/>
          <w:szCs w:val="24"/>
        </w:rPr>
        <w:t>określ</w:t>
      </w:r>
      <w:r w:rsidR="00751803" w:rsidRPr="006657A5">
        <w:rPr>
          <w:rFonts w:cs="Times New Roman"/>
          <w:szCs w:val="24"/>
        </w:rPr>
        <w:t>ono</w:t>
      </w:r>
      <w:r w:rsidR="0046115A">
        <w:rPr>
          <w:rFonts w:cs="Times New Roman"/>
          <w:szCs w:val="24"/>
        </w:rPr>
        <w:t xml:space="preserve"> zakres definicji </w:t>
      </w:r>
      <w:r w:rsidR="00751803" w:rsidRPr="006657A5">
        <w:rPr>
          <w:rFonts w:cs="Times New Roman"/>
          <w:szCs w:val="24"/>
        </w:rPr>
        <w:t>podmiot</w:t>
      </w:r>
      <w:r w:rsidR="0046115A">
        <w:rPr>
          <w:rFonts w:cs="Times New Roman"/>
          <w:szCs w:val="24"/>
        </w:rPr>
        <w:t>ów</w:t>
      </w:r>
      <w:r w:rsidR="00751803" w:rsidRPr="006657A5">
        <w:rPr>
          <w:rFonts w:cs="Times New Roman"/>
          <w:szCs w:val="24"/>
        </w:rPr>
        <w:t xml:space="preserve"> prowadząc</w:t>
      </w:r>
      <w:r w:rsidR="0046115A">
        <w:rPr>
          <w:rFonts w:cs="Times New Roman"/>
          <w:szCs w:val="24"/>
        </w:rPr>
        <w:t>ych</w:t>
      </w:r>
      <w:r w:rsidR="00751803" w:rsidRPr="006657A5">
        <w:rPr>
          <w:rFonts w:cs="Times New Roman"/>
          <w:szCs w:val="24"/>
        </w:rPr>
        <w:t xml:space="preserve"> działalność w zakresie wymiany walut</w:t>
      </w:r>
      <w:r w:rsidR="0046115A">
        <w:rPr>
          <w:rFonts w:cs="Times New Roman"/>
          <w:szCs w:val="24"/>
        </w:rPr>
        <w:t>, wskazując, ze definicja ta</w:t>
      </w:r>
      <w:r w:rsidR="00CB0432" w:rsidRPr="009F192D">
        <w:rPr>
          <w:rFonts w:cs="Times New Roman"/>
          <w:szCs w:val="24"/>
        </w:rPr>
        <w:t xml:space="preserve"> obejmuje zarówno podmioty prowadzące działalność kantorową, jak i podmioty świadczące usługi </w:t>
      </w:r>
      <w:r w:rsidR="00756F03" w:rsidRPr="00207355">
        <w:rPr>
          <w:rFonts w:cs="Times New Roman"/>
          <w:szCs w:val="24"/>
        </w:rPr>
        <w:t>za pośrednictwem platform internetowych w zakresie wymiany walut</w:t>
      </w:r>
      <w:r w:rsidR="00901281" w:rsidRPr="002E495D">
        <w:rPr>
          <w:rFonts w:cs="Times New Roman"/>
          <w:szCs w:val="24"/>
        </w:rPr>
        <w:t xml:space="preserve"> będących prawnymi środkami płatniczymi</w:t>
      </w:r>
      <w:r w:rsidR="00756F03" w:rsidRPr="00257A48">
        <w:rPr>
          <w:rFonts w:cs="Times New Roman"/>
          <w:szCs w:val="24"/>
        </w:rPr>
        <w:t>, a także zbierania</w:t>
      </w:r>
      <w:r w:rsidR="00CB0432" w:rsidRPr="006563D0">
        <w:rPr>
          <w:rFonts w:cs="Times New Roman"/>
          <w:szCs w:val="24"/>
        </w:rPr>
        <w:t xml:space="preserve"> i kojarzeni</w:t>
      </w:r>
      <w:r w:rsidR="00756F03" w:rsidRPr="006563D0">
        <w:rPr>
          <w:rFonts w:cs="Times New Roman"/>
          <w:szCs w:val="24"/>
        </w:rPr>
        <w:t>a</w:t>
      </w:r>
      <w:r w:rsidR="00CB0432" w:rsidRPr="006563D0">
        <w:rPr>
          <w:rFonts w:cs="Times New Roman"/>
          <w:szCs w:val="24"/>
        </w:rPr>
        <w:t xml:space="preserve"> zleceń zamiany wartości dewizowych od różnych klientów i organizujące/umożliwiające wymianę walut pomiędzy różnymi klientami</w:t>
      </w:r>
      <w:r w:rsidR="0046115A">
        <w:rPr>
          <w:rFonts w:cs="Times New Roman"/>
          <w:szCs w:val="24"/>
        </w:rPr>
        <w:t>;</w:t>
      </w:r>
    </w:p>
    <w:p w14:paraId="13B4B0BE" w14:textId="19B344C4" w:rsidR="00776F39" w:rsidRPr="006657A5" w:rsidRDefault="0046115A" w:rsidP="006563D0">
      <w:pPr>
        <w:pStyle w:val="Akapitzlist"/>
        <w:numPr>
          <w:ilvl w:val="0"/>
          <w:numId w:val="30"/>
        </w:numPr>
        <w:spacing w:line="340" w:lineRule="atLeast"/>
        <w:rPr>
          <w:rFonts w:cs="Times New Roman"/>
          <w:szCs w:val="24"/>
        </w:rPr>
      </w:pPr>
      <w:r>
        <w:rPr>
          <w:rFonts w:cs="Times New Roman"/>
          <w:szCs w:val="24"/>
        </w:rPr>
        <w:t xml:space="preserve">pozbawiono statusu </w:t>
      </w:r>
      <w:r w:rsidR="006E1C98" w:rsidRPr="006657A5">
        <w:rPr>
          <w:rFonts w:cs="Times New Roman"/>
          <w:szCs w:val="24"/>
        </w:rPr>
        <w:t xml:space="preserve">instytucji obowiązanych przedsiębiorców prowadzących: domy aukcyjne, antykwariaty, </w:t>
      </w:r>
      <w:r w:rsidR="006E1C98" w:rsidRPr="009F192D">
        <w:rPr>
          <w:rFonts w:cs="Times New Roman"/>
          <w:szCs w:val="24"/>
        </w:rPr>
        <w:t>dział</w:t>
      </w:r>
      <w:r w:rsidR="006E1C98" w:rsidRPr="00207355">
        <w:rPr>
          <w:rFonts w:cs="Times New Roman"/>
          <w:szCs w:val="24"/>
        </w:rPr>
        <w:t>alność factoringową, działalność w zakresie obrotu metalami lub kamieniami szlachetnymi i półszlachetnymi, sprzedaży komisowej</w:t>
      </w:r>
      <w:r w:rsidR="006E1C98" w:rsidRPr="005942A4">
        <w:rPr>
          <w:rFonts w:cs="Times New Roman"/>
          <w:szCs w:val="24"/>
        </w:rPr>
        <w:t>.</w:t>
      </w:r>
    </w:p>
    <w:p w14:paraId="007B14AF" w14:textId="61BF4F29" w:rsidR="00D3011A" w:rsidRPr="006657A5" w:rsidRDefault="00BD7B43" w:rsidP="006563D0">
      <w:pPr>
        <w:spacing w:line="340" w:lineRule="atLeast"/>
        <w:rPr>
          <w:rFonts w:cs="Times New Roman"/>
          <w:szCs w:val="24"/>
        </w:rPr>
      </w:pPr>
      <w:r w:rsidRPr="009F192D">
        <w:rPr>
          <w:rFonts w:cs="Times New Roman"/>
          <w:szCs w:val="24"/>
        </w:rPr>
        <w:t xml:space="preserve">W art. 2 ust. 2 zdefiniowano </w:t>
      </w:r>
      <w:r w:rsidRPr="00207355">
        <w:rPr>
          <w:rFonts w:cs="Times New Roman"/>
          <w:szCs w:val="24"/>
        </w:rPr>
        <w:t xml:space="preserve">pojęcia użyte w ustawie. </w:t>
      </w:r>
      <w:r w:rsidR="00E64551">
        <w:rPr>
          <w:rFonts w:cs="Times New Roman"/>
          <w:szCs w:val="24"/>
        </w:rPr>
        <w:t xml:space="preserve">Większość z przyjętych </w:t>
      </w:r>
      <w:r w:rsidRPr="00207355">
        <w:rPr>
          <w:rFonts w:cs="Times New Roman"/>
          <w:szCs w:val="24"/>
        </w:rPr>
        <w:t>definicji bazuje na definicjach wskazanych w Dyrektywie 2015/849</w:t>
      </w:r>
      <w:r w:rsidR="00901281" w:rsidRPr="006563D0">
        <w:rPr>
          <w:rFonts w:cs="Times New Roman"/>
          <w:szCs w:val="24"/>
        </w:rPr>
        <w:t xml:space="preserve">. </w:t>
      </w:r>
      <w:r w:rsidR="0015231B">
        <w:rPr>
          <w:rFonts w:cs="Times New Roman"/>
          <w:szCs w:val="24"/>
        </w:rPr>
        <w:t>W</w:t>
      </w:r>
      <w:r w:rsidR="00901281" w:rsidRPr="006657A5">
        <w:rPr>
          <w:rFonts w:cs="Times New Roman"/>
          <w:szCs w:val="24"/>
        </w:rPr>
        <w:t>prowadzono</w:t>
      </w:r>
      <w:r w:rsidR="0012403A">
        <w:rPr>
          <w:rFonts w:cs="Times New Roman"/>
          <w:szCs w:val="24"/>
        </w:rPr>
        <w:t xml:space="preserve"> m.in.</w:t>
      </w:r>
      <w:r w:rsidR="00901281" w:rsidRPr="005942A4">
        <w:rPr>
          <w:rFonts w:cs="Times New Roman"/>
          <w:szCs w:val="24"/>
        </w:rPr>
        <w:t xml:space="preserve"> </w:t>
      </w:r>
      <w:r w:rsidR="00901281" w:rsidRPr="009F192D">
        <w:rPr>
          <w:rFonts w:cs="Times New Roman"/>
          <w:szCs w:val="24"/>
        </w:rPr>
        <w:t>definicję walut wirtualnych</w:t>
      </w:r>
      <w:r w:rsidR="00B219F6" w:rsidRPr="00207355">
        <w:rPr>
          <w:rFonts w:cs="Times New Roman"/>
          <w:szCs w:val="24"/>
        </w:rPr>
        <w:t>.</w:t>
      </w:r>
      <w:r w:rsidR="00901281" w:rsidRPr="005942A4">
        <w:rPr>
          <w:rStyle w:val="Odwoanieprzypisudolnego"/>
          <w:rFonts w:cs="Times New Roman"/>
          <w:szCs w:val="24"/>
        </w:rPr>
        <w:footnoteReference w:id="1"/>
      </w:r>
      <w:r w:rsidR="00B219F6" w:rsidRPr="005942A4">
        <w:rPr>
          <w:rFonts w:cs="Times New Roman"/>
          <w:szCs w:val="24"/>
        </w:rPr>
        <w:t xml:space="preserve"> Jej zadaniem jest odniesienie się zarówno do tzw. </w:t>
      </w:r>
      <w:r w:rsidR="00B219F6" w:rsidRPr="006657A5">
        <w:rPr>
          <w:rFonts w:cs="Times New Roman"/>
          <w:szCs w:val="24"/>
        </w:rPr>
        <w:t>kry</w:t>
      </w:r>
      <w:r w:rsidR="00B219F6" w:rsidRPr="009F192D">
        <w:rPr>
          <w:rFonts w:cs="Times New Roman"/>
          <w:szCs w:val="24"/>
        </w:rPr>
        <w:t>pt</w:t>
      </w:r>
      <w:r w:rsidR="00B219F6" w:rsidRPr="00207355">
        <w:rPr>
          <w:rFonts w:cs="Times New Roman"/>
          <w:szCs w:val="24"/>
        </w:rPr>
        <w:t xml:space="preserve">owalut, jak i scentralizowanych </w:t>
      </w:r>
      <w:r w:rsidR="00B219F6" w:rsidRPr="002E495D">
        <w:rPr>
          <w:rFonts w:cs="Times New Roman"/>
          <w:szCs w:val="24"/>
        </w:rPr>
        <w:t>walut wirtualnych</w:t>
      </w:r>
      <w:r w:rsidR="00B219F6" w:rsidRPr="005942A4">
        <w:rPr>
          <w:rStyle w:val="Odwoanieprzypisudolnego"/>
          <w:rFonts w:cs="Times New Roman"/>
          <w:szCs w:val="24"/>
        </w:rPr>
        <w:footnoteReference w:id="2"/>
      </w:r>
      <w:r w:rsidR="00D3011A" w:rsidRPr="005942A4">
        <w:rPr>
          <w:rFonts w:cs="Times New Roman"/>
          <w:szCs w:val="24"/>
        </w:rPr>
        <w:t>.</w:t>
      </w:r>
      <w:r w:rsidR="00E64551">
        <w:rPr>
          <w:rFonts w:cs="Times New Roman"/>
          <w:szCs w:val="24"/>
        </w:rPr>
        <w:t xml:space="preserve"> Ze wzgl</w:t>
      </w:r>
      <w:r w:rsidR="00466561">
        <w:rPr>
          <w:rFonts w:cs="Times New Roman"/>
          <w:szCs w:val="24"/>
        </w:rPr>
        <w:t>ędu na wymogi wynikające z przepisów Dyrektywy 2015/849 oraz ze względu na coraz częstsze wykorzystywanie w procederze legalizacji środków pochodzących z działalności o charakterze przestępczym</w:t>
      </w:r>
      <w:r w:rsidR="00D8291F">
        <w:rPr>
          <w:rFonts w:cs="Times New Roman"/>
          <w:szCs w:val="24"/>
        </w:rPr>
        <w:t xml:space="preserve"> konstrukcji powierniczych zawiązywanych w oparciu o przepisy prawa obcego zaproponowano definicję „trustu”. Na podstawie doświadczeń związanych ze stosowaniem przepisów ustawy o p.p.p.f.t. wprowadzono definicję „klienta”.</w:t>
      </w:r>
    </w:p>
    <w:p w14:paraId="21094F23" w14:textId="491DC5B8" w:rsidR="002E5BFB" w:rsidRPr="005942A4" w:rsidRDefault="00AE2A99" w:rsidP="006563D0">
      <w:pPr>
        <w:spacing w:line="340" w:lineRule="atLeast"/>
        <w:rPr>
          <w:rFonts w:cs="Times New Roman"/>
          <w:szCs w:val="24"/>
        </w:rPr>
      </w:pPr>
      <w:r>
        <w:rPr>
          <w:rFonts w:cs="Times New Roman"/>
          <w:szCs w:val="24"/>
        </w:rPr>
        <w:t xml:space="preserve">W </w:t>
      </w:r>
      <w:r w:rsidR="002E5BFB" w:rsidRPr="006657A5">
        <w:rPr>
          <w:rFonts w:cs="Times New Roman"/>
          <w:szCs w:val="24"/>
        </w:rPr>
        <w:t xml:space="preserve"> </w:t>
      </w:r>
      <w:r>
        <w:rPr>
          <w:rFonts w:cs="Times New Roman"/>
          <w:szCs w:val="24"/>
        </w:rPr>
        <w:t>R</w:t>
      </w:r>
      <w:r w:rsidR="002E5BFB" w:rsidRPr="006657A5">
        <w:rPr>
          <w:rFonts w:cs="Times New Roman"/>
          <w:szCs w:val="24"/>
        </w:rPr>
        <w:t>ozdzia</w:t>
      </w:r>
      <w:r>
        <w:rPr>
          <w:rFonts w:cs="Times New Roman"/>
          <w:szCs w:val="24"/>
        </w:rPr>
        <w:t>le 2</w:t>
      </w:r>
      <w:r w:rsidR="002E5BFB" w:rsidRPr="009F192D">
        <w:rPr>
          <w:rFonts w:cs="Times New Roman"/>
          <w:szCs w:val="24"/>
        </w:rPr>
        <w:t xml:space="preserve"> określ</w:t>
      </w:r>
      <w:r>
        <w:rPr>
          <w:rFonts w:cs="Times New Roman"/>
          <w:szCs w:val="24"/>
        </w:rPr>
        <w:t>ono</w:t>
      </w:r>
      <w:r w:rsidR="002E5BFB" w:rsidRPr="006657A5">
        <w:rPr>
          <w:rFonts w:cs="Times New Roman"/>
          <w:szCs w:val="24"/>
        </w:rPr>
        <w:t xml:space="preserve"> organy </w:t>
      </w:r>
      <w:r w:rsidR="000F4EA5" w:rsidRPr="000F4EA5">
        <w:rPr>
          <w:rFonts w:cs="Times New Roman"/>
          <w:szCs w:val="24"/>
        </w:rPr>
        <w:t xml:space="preserve">administracji rządowej </w:t>
      </w:r>
      <w:r w:rsidR="002E5BFB" w:rsidRPr="006657A5">
        <w:rPr>
          <w:rFonts w:cs="Times New Roman"/>
          <w:szCs w:val="24"/>
        </w:rPr>
        <w:t xml:space="preserve">właściwe  w sprawach przeciwdziałania praniu pieniędzy oraz finansowaniu terroryzmu, zadania Generalnego </w:t>
      </w:r>
      <w:r w:rsidR="002E5BFB" w:rsidRPr="009F192D">
        <w:rPr>
          <w:rFonts w:cs="Times New Roman"/>
          <w:szCs w:val="24"/>
        </w:rPr>
        <w:t>Inspektora</w:t>
      </w:r>
      <w:r w:rsidR="000F4EA5" w:rsidRPr="000F4EA5">
        <w:t xml:space="preserve"> </w:t>
      </w:r>
      <w:r w:rsidR="000F4EA5" w:rsidRPr="000F4EA5">
        <w:rPr>
          <w:rFonts w:cs="Times New Roman"/>
          <w:szCs w:val="24"/>
        </w:rPr>
        <w:t>Informacji Finansowej</w:t>
      </w:r>
      <w:r w:rsidR="00693F8B">
        <w:rPr>
          <w:rFonts w:cs="Times New Roman"/>
          <w:szCs w:val="24"/>
        </w:rPr>
        <w:t xml:space="preserve"> (dalej, jako Generalny Inspektor)</w:t>
      </w:r>
      <w:r w:rsidR="002E5BFB" w:rsidRPr="005942A4">
        <w:rPr>
          <w:rFonts w:cs="Times New Roman"/>
          <w:szCs w:val="24"/>
        </w:rPr>
        <w:t xml:space="preserve">, </w:t>
      </w:r>
      <w:r w:rsidR="000F4EA5">
        <w:rPr>
          <w:rFonts w:cs="Times New Roman"/>
          <w:szCs w:val="24"/>
        </w:rPr>
        <w:t>zasady</w:t>
      </w:r>
      <w:r w:rsidR="002E5BFB" w:rsidRPr="005942A4">
        <w:rPr>
          <w:rFonts w:cs="Times New Roman"/>
          <w:szCs w:val="24"/>
        </w:rPr>
        <w:t xml:space="preserve"> współpr</w:t>
      </w:r>
      <w:r w:rsidR="002E5BFB" w:rsidRPr="006657A5">
        <w:rPr>
          <w:rFonts w:cs="Times New Roman"/>
          <w:szCs w:val="24"/>
        </w:rPr>
        <w:t xml:space="preserve">acy z Generalnym Inspektorem, </w:t>
      </w:r>
      <w:r w:rsidR="000F4EA5">
        <w:rPr>
          <w:rFonts w:cs="Times New Roman"/>
          <w:szCs w:val="24"/>
        </w:rPr>
        <w:t xml:space="preserve">procedurę sporządzania </w:t>
      </w:r>
      <w:r w:rsidR="002E5BFB" w:rsidRPr="005942A4">
        <w:rPr>
          <w:rFonts w:cs="Times New Roman"/>
          <w:szCs w:val="24"/>
        </w:rPr>
        <w:t>rocznego sprawozdania przedstawianego przez Generalnego Inspektora Prezesowi Rady Ministrów, wyłączenia od wykonywania zadań przez Generalnego Inspektora oraz kwestie delegacji pracowników lub funkcjonar</w:t>
      </w:r>
      <w:r w:rsidR="002E5BFB" w:rsidRPr="006657A5">
        <w:rPr>
          <w:rFonts w:cs="Times New Roman"/>
          <w:szCs w:val="24"/>
        </w:rPr>
        <w:t xml:space="preserve">iuszy jednostek i organów podległych lub nadzorowanych przez </w:t>
      </w:r>
      <w:r w:rsidR="000F4EA5">
        <w:rPr>
          <w:rFonts w:cs="Times New Roman"/>
          <w:szCs w:val="24"/>
        </w:rPr>
        <w:t>m</w:t>
      </w:r>
      <w:r w:rsidR="002E5BFB" w:rsidRPr="006657A5">
        <w:rPr>
          <w:rFonts w:cs="Times New Roman"/>
          <w:szCs w:val="24"/>
        </w:rPr>
        <w:t xml:space="preserve">inistra właściwego do spraw wewnętrznych oraz Szefa Agencji Bezpieczeństwa Wewnętrznego, do pracy w jednostce organizacyjnej Krajowej Administracji Skarbowej wyodrębnionej </w:t>
      </w:r>
      <w:r w:rsidR="002E5BFB" w:rsidRPr="00207355">
        <w:rPr>
          <w:rFonts w:cs="Times New Roman"/>
          <w:szCs w:val="24"/>
        </w:rPr>
        <w:t>urzędzie obsługującym ministra właściwego do spraw finansów publicznych</w:t>
      </w:r>
      <w:r w:rsidR="000F4EA5">
        <w:rPr>
          <w:rFonts w:cs="Times New Roman"/>
          <w:szCs w:val="24"/>
        </w:rPr>
        <w:t xml:space="preserve"> celu świadczenia </w:t>
      </w:r>
      <w:r w:rsidR="000F4EA5" w:rsidRPr="001A5947">
        <w:t>pomocy</w:t>
      </w:r>
      <w:r w:rsidR="000F4EA5">
        <w:t xml:space="preserve"> przy wykonywaniu zadań Generalnego Inspektora</w:t>
      </w:r>
      <w:r w:rsidR="002E5BFB" w:rsidRPr="005942A4">
        <w:rPr>
          <w:rFonts w:cs="Times New Roman"/>
          <w:szCs w:val="24"/>
        </w:rPr>
        <w:t xml:space="preserve">. </w:t>
      </w:r>
    </w:p>
    <w:p w14:paraId="7D2DBD64" w14:textId="09BA7C85" w:rsidR="002E5BFB" w:rsidRPr="006657A5" w:rsidRDefault="00DA1AAD" w:rsidP="006563D0">
      <w:pPr>
        <w:spacing w:line="340" w:lineRule="atLeast"/>
        <w:rPr>
          <w:rFonts w:cs="Times New Roman"/>
          <w:szCs w:val="24"/>
        </w:rPr>
      </w:pPr>
      <w:r w:rsidRPr="002E495D">
        <w:rPr>
          <w:rFonts w:cs="Times New Roman"/>
          <w:szCs w:val="24"/>
        </w:rPr>
        <w:t xml:space="preserve">Zgodnie z </w:t>
      </w:r>
      <w:r w:rsidR="000F4EA5">
        <w:rPr>
          <w:rFonts w:cs="Times New Roman"/>
          <w:szCs w:val="24"/>
        </w:rPr>
        <w:t xml:space="preserve">art. </w:t>
      </w:r>
      <w:r w:rsidR="00305489">
        <w:rPr>
          <w:rFonts w:cs="Times New Roman"/>
          <w:szCs w:val="24"/>
        </w:rPr>
        <w:t>6</w:t>
      </w:r>
      <w:r w:rsidR="000F4EA5">
        <w:rPr>
          <w:rFonts w:cs="Times New Roman"/>
          <w:szCs w:val="24"/>
        </w:rPr>
        <w:t xml:space="preserve"> </w:t>
      </w:r>
      <w:r w:rsidRPr="006657A5">
        <w:rPr>
          <w:rFonts w:cs="Times New Roman"/>
          <w:szCs w:val="24"/>
        </w:rPr>
        <w:t>organami administracji rządowej właściwymi w sprawach przeciwdziałania praniu pieniędzy oraz finansowaniu terroryzmu, zwanymi dalej „organami informacji finansowej” są: minister właściwy do spraw finansów publicznych, jak</w:t>
      </w:r>
      <w:r w:rsidRPr="009F192D">
        <w:rPr>
          <w:rFonts w:cs="Times New Roman"/>
          <w:szCs w:val="24"/>
        </w:rPr>
        <w:t xml:space="preserve">o naczelny organ informacji finansowej oraz </w:t>
      </w:r>
      <w:r w:rsidRPr="002E495D">
        <w:rPr>
          <w:rFonts w:cs="Times New Roman"/>
          <w:szCs w:val="24"/>
        </w:rPr>
        <w:t>Generalny Inspektor Informacji Finansowej</w:t>
      </w:r>
      <w:r w:rsidRPr="005942A4">
        <w:rPr>
          <w:rFonts w:cs="Times New Roman"/>
          <w:szCs w:val="24"/>
        </w:rPr>
        <w:t xml:space="preserve"> </w:t>
      </w:r>
    </w:p>
    <w:p w14:paraId="5EC790B3" w14:textId="5252B672" w:rsidR="002E5BFB" w:rsidRPr="006563D0" w:rsidRDefault="00A07B65" w:rsidP="006563D0">
      <w:pPr>
        <w:spacing w:line="340" w:lineRule="atLeast"/>
        <w:rPr>
          <w:rFonts w:cs="Times New Roman"/>
          <w:szCs w:val="24"/>
        </w:rPr>
      </w:pPr>
      <w:r>
        <w:rPr>
          <w:rFonts w:cs="Times New Roman"/>
          <w:szCs w:val="24"/>
        </w:rPr>
        <w:lastRenderedPageBreak/>
        <w:t>W art. 5 ust. 1 sprecyzowano zadania Generalnego Inspektora. W art. 5 ust. 2</w:t>
      </w:r>
      <w:r w:rsidR="002E5BFB" w:rsidRPr="006563D0">
        <w:rPr>
          <w:rFonts w:cs="Times New Roman"/>
          <w:szCs w:val="24"/>
        </w:rPr>
        <w:t xml:space="preserve"> wskazan</w:t>
      </w:r>
      <w:r>
        <w:rPr>
          <w:rFonts w:cs="Times New Roman"/>
          <w:szCs w:val="24"/>
        </w:rPr>
        <w:t>o Generalnego Inspektora, jako organ</w:t>
      </w:r>
      <w:r w:rsidR="002E5BFB" w:rsidRPr="006657A5">
        <w:rPr>
          <w:rFonts w:cs="Times New Roman"/>
          <w:szCs w:val="24"/>
        </w:rPr>
        <w:t xml:space="preserve"> </w:t>
      </w:r>
      <w:r>
        <w:rPr>
          <w:rFonts w:cs="Times New Roman"/>
          <w:szCs w:val="24"/>
        </w:rPr>
        <w:t xml:space="preserve">wykonujący zadania JAF, do czego zobowiązuje </w:t>
      </w:r>
      <w:r w:rsidR="002E5BFB" w:rsidRPr="009F192D">
        <w:rPr>
          <w:rFonts w:cs="Times New Roman"/>
          <w:szCs w:val="24"/>
        </w:rPr>
        <w:t xml:space="preserve"> art. 32 ust. 2 Dyrektywy</w:t>
      </w:r>
      <w:r w:rsidR="00AD78F3">
        <w:rPr>
          <w:rFonts w:cs="Times New Roman"/>
          <w:szCs w:val="24"/>
        </w:rPr>
        <w:t xml:space="preserve"> </w:t>
      </w:r>
      <w:r w:rsidR="00AD78F3" w:rsidRPr="00AD78F3">
        <w:rPr>
          <w:rFonts w:cs="Times New Roman"/>
          <w:szCs w:val="24"/>
        </w:rPr>
        <w:t>2015/849</w:t>
      </w:r>
      <w:r w:rsidR="002E5BFB" w:rsidRPr="00207355">
        <w:rPr>
          <w:rFonts w:cs="Times New Roman"/>
          <w:szCs w:val="24"/>
        </w:rPr>
        <w:t xml:space="preserve">. </w:t>
      </w:r>
      <w:r>
        <w:rPr>
          <w:rFonts w:cs="Times New Roman"/>
          <w:szCs w:val="24"/>
        </w:rPr>
        <w:t xml:space="preserve"> W art. 7 określono zakres przedmiotowy oraz procedurę sporządzania przez Generalnego Inspektora rocznego sprawozdania z jego działalności. </w:t>
      </w:r>
      <w:r w:rsidR="00AD78F3">
        <w:rPr>
          <w:rFonts w:cs="Times New Roman"/>
          <w:szCs w:val="24"/>
        </w:rPr>
        <w:t>Zakres danych, które powinny być zawarte w sprawozdaniu uwzględnia wymogi wynikające z a</w:t>
      </w:r>
      <w:r w:rsidR="002E5BFB" w:rsidRPr="006657A5">
        <w:rPr>
          <w:rFonts w:cs="Times New Roman"/>
          <w:szCs w:val="24"/>
        </w:rPr>
        <w:t xml:space="preserve">rt. 44 </w:t>
      </w:r>
      <w:r w:rsidR="007F4AD0" w:rsidRPr="009F192D">
        <w:rPr>
          <w:rFonts w:cs="Times New Roman"/>
          <w:szCs w:val="24"/>
        </w:rPr>
        <w:t>Dyrektywy 2015/849</w:t>
      </w:r>
      <w:r w:rsidR="00AD78F3">
        <w:rPr>
          <w:rFonts w:cs="Times New Roman"/>
          <w:szCs w:val="24"/>
        </w:rPr>
        <w:t>, który</w:t>
      </w:r>
      <w:r w:rsidR="002E5BFB" w:rsidRPr="005942A4">
        <w:rPr>
          <w:rFonts w:cs="Times New Roman"/>
          <w:szCs w:val="24"/>
        </w:rPr>
        <w:t xml:space="preserve"> zobowiązuje państwa członkowskie do prowadzenia i przekazywania Komisji</w:t>
      </w:r>
      <w:r w:rsidR="00AD78F3">
        <w:rPr>
          <w:rFonts w:cs="Times New Roman"/>
          <w:szCs w:val="24"/>
        </w:rPr>
        <w:t xml:space="preserve"> Europejskiej</w:t>
      </w:r>
      <w:r w:rsidR="002E5BFB" w:rsidRPr="005942A4">
        <w:rPr>
          <w:rFonts w:cs="Times New Roman"/>
          <w:szCs w:val="24"/>
        </w:rPr>
        <w:t xml:space="preserve"> statystyk, </w:t>
      </w:r>
      <w:r w:rsidR="002E5BFB" w:rsidRPr="009F192D">
        <w:rPr>
          <w:rFonts w:cs="Times New Roman"/>
          <w:szCs w:val="24"/>
        </w:rPr>
        <w:t>mają</w:t>
      </w:r>
      <w:r w:rsidR="00AD78F3">
        <w:rPr>
          <w:rFonts w:cs="Times New Roman"/>
          <w:szCs w:val="24"/>
        </w:rPr>
        <w:t>cych</w:t>
      </w:r>
      <w:r w:rsidR="002E5BFB" w:rsidRPr="005942A4">
        <w:rPr>
          <w:rFonts w:cs="Times New Roman"/>
          <w:szCs w:val="24"/>
        </w:rPr>
        <w:t xml:space="preserve"> na celu przegląd skuteczności systemów zwalczania prania pieniędzy lub finansowania terroryzmu</w:t>
      </w:r>
      <w:r w:rsidR="00AD78F3">
        <w:rPr>
          <w:rFonts w:cs="Times New Roman"/>
          <w:szCs w:val="24"/>
        </w:rPr>
        <w:t xml:space="preserve"> państwa członkowskich</w:t>
      </w:r>
      <w:r w:rsidR="002E5BFB" w:rsidRPr="005942A4">
        <w:rPr>
          <w:rFonts w:cs="Times New Roman"/>
          <w:szCs w:val="24"/>
        </w:rPr>
        <w:t xml:space="preserve">. </w:t>
      </w:r>
      <w:r w:rsidR="002E5BFB" w:rsidRPr="006563D0">
        <w:rPr>
          <w:rFonts w:cs="Times New Roman"/>
          <w:szCs w:val="24"/>
        </w:rPr>
        <w:t xml:space="preserve">Podkreślić należy, że wskazanie kategorii danych nie ogranicza rozszerzenia sprawozdania o inne kategorie – katalog informacji nie jest zamknięty. Podany zakres odwołuje się wprost do określonego w Dyrektywie, natomiast nie jest możliwe i uzasadnione enumeratywne podanie wszystkich kategorii informacji, które mogą zostać zamieszczone w rocznym sprawozdaniu. </w:t>
      </w:r>
    </w:p>
    <w:p w14:paraId="019F61C3" w14:textId="6FA9ED47" w:rsidR="00543014" w:rsidRPr="00207355" w:rsidRDefault="00AD78F3" w:rsidP="006563D0">
      <w:pPr>
        <w:spacing w:line="340" w:lineRule="atLeast"/>
        <w:rPr>
          <w:rFonts w:cs="Times New Roman"/>
          <w:szCs w:val="24"/>
        </w:rPr>
      </w:pPr>
      <w:r>
        <w:rPr>
          <w:rFonts w:cs="Times New Roman"/>
          <w:szCs w:val="24"/>
        </w:rPr>
        <w:t xml:space="preserve">W art. 9 określono zasady </w:t>
      </w:r>
      <w:r w:rsidR="002E5BFB" w:rsidRPr="006657A5">
        <w:rPr>
          <w:rFonts w:cs="Times New Roman"/>
          <w:szCs w:val="24"/>
        </w:rPr>
        <w:t xml:space="preserve">delegacji pracowników i funkcjonariuszy jednostek i organów podległych ministrowi właściwemu do spraw </w:t>
      </w:r>
      <w:r>
        <w:rPr>
          <w:rFonts w:cs="Times New Roman"/>
          <w:szCs w:val="24"/>
        </w:rPr>
        <w:t>wewnętrznych</w:t>
      </w:r>
      <w:r w:rsidR="002E5BFB" w:rsidRPr="006657A5">
        <w:rPr>
          <w:rFonts w:cs="Times New Roman"/>
          <w:szCs w:val="24"/>
        </w:rPr>
        <w:t xml:space="preserve"> do pracy w jednostce organizacyjnej Krajowej Administracji Skarbowej wyodrębnionej w urzędzie obsługującym ministra właściwego do spraw finansów publicznych. </w:t>
      </w:r>
    </w:p>
    <w:p w14:paraId="137FFA9D" w14:textId="2C1A4F1F" w:rsidR="00C873E4" w:rsidRPr="009F192D" w:rsidRDefault="00967FF1" w:rsidP="006563D0">
      <w:pPr>
        <w:spacing w:line="340" w:lineRule="atLeast"/>
        <w:rPr>
          <w:rFonts w:cs="Times New Roman"/>
          <w:szCs w:val="24"/>
        </w:rPr>
      </w:pPr>
      <w:r>
        <w:rPr>
          <w:rFonts w:cs="Times New Roman"/>
          <w:szCs w:val="24"/>
        </w:rPr>
        <w:t xml:space="preserve">W </w:t>
      </w:r>
      <w:r w:rsidR="00C873E4" w:rsidRPr="005942A4">
        <w:rPr>
          <w:rFonts w:cs="Times New Roman"/>
          <w:szCs w:val="24"/>
        </w:rPr>
        <w:t>Rozdzia</w:t>
      </w:r>
      <w:r>
        <w:rPr>
          <w:rFonts w:cs="Times New Roman"/>
          <w:szCs w:val="24"/>
        </w:rPr>
        <w:t>le</w:t>
      </w:r>
      <w:r w:rsidR="00C873E4" w:rsidRPr="006657A5">
        <w:rPr>
          <w:rFonts w:cs="Times New Roman"/>
          <w:szCs w:val="24"/>
        </w:rPr>
        <w:t xml:space="preserve"> </w:t>
      </w:r>
      <w:r>
        <w:rPr>
          <w:rFonts w:cs="Times New Roman"/>
          <w:szCs w:val="24"/>
        </w:rPr>
        <w:t>3</w:t>
      </w:r>
      <w:r w:rsidR="00C873E4" w:rsidRPr="006657A5">
        <w:rPr>
          <w:rFonts w:cs="Times New Roman"/>
          <w:szCs w:val="24"/>
        </w:rPr>
        <w:t xml:space="preserve"> </w:t>
      </w:r>
      <w:r w:rsidR="00C52B57">
        <w:rPr>
          <w:rFonts w:cs="Times New Roman"/>
          <w:szCs w:val="24"/>
        </w:rPr>
        <w:t xml:space="preserve">określono zasady funkcjonowania </w:t>
      </w:r>
      <w:r w:rsidR="00C873E4" w:rsidRPr="009F192D">
        <w:rPr>
          <w:rFonts w:cs="Times New Roman"/>
          <w:szCs w:val="24"/>
        </w:rPr>
        <w:t xml:space="preserve"> Komitetu Bezpieczeństwa Finansowego</w:t>
      </w:r>
      <w:r w:rsidR="00C52B57">
        <w:rPr>
          <w:rFonts w:cs="Times New Roman"/>
          <w:szCs w:val="24"/>
        </w:rPr>
        <w:t>, jako</w:t>
      </w:r>
      <w:r w:rsidR="00C873E4" w:rsidRPr="005942A4">
        <w:rPr>
          <w:rFonts w:cs="Times New Roman"/>
          <w:szCs w:val="24"/>
        </w:rPr>
        <w:t xml:space="preserve"> </w:t>
      </w:r>
      <w:r w:rsidR="00C873E4" w:rsidRPr="009F192D">
        <w:rPr>
          <w:rFonts w:cs="Times New Roman"/>
          <w:szCs w:val="24"/>
        </w:rPr>
        <w:t xml:space="preserve">ciała o charakterze opiniodawczo - doradczym działającego przy Generalnym Inspektorze Informacji Finansowej. </w:t>
      </w:r>
      <w:r w:rsidR="00C52B57">
        <w:rPr>
          <w:rFonts w:cs="Times New Roman"/>
          <w:szCs w:val="24"/>
        </w:rPr>
        <w:t xml:space="preserve">W </w:t>
      </w:r>
      <w:r w:rsidR="00C873E4" w:rsidRPr="006657A5">
        <w:rPr>
          <w:rFonts w:cs="Times New Roman"/>
          <w:szCs w:val="24"/>
        </w:rPr>
        <w:t>art. 1</w:t>
      </w:r>
      <w:r w:rsidR="00C52B57">
        <w:rPr>
          <w:rFonts w:cs="Times New Roman"/>
          <w:szCs w:val="24"/>
        </w:rPr>
        <w:t>1 ust. 2</w:t>
      </w:r>
      <w:r w:rsidR="00C873E4" w:rsidRPr="006657A5">
        <w:rPr>
          <w:rFonts w:cs="Times New Roman"/>
          <w:szCs w:val="24"/>
        </w:rPr>
        <w:t xml:space="preserve"> projektu projektodawca określił zakres zadań Komitetu, do którego należy zaliczyć w szczególności:</w:t>
      </w:r>
    </w:p>
    <w:p w14:paraId="2FBE1FEB" w14:textId="3BDF3F6B" w:rsidR="00C873E4" w:rsidRPr="002E495D" w:rsidRDefault="00C873E4" w:rsidP="006563D0">
      <w:pPr>
        <w:pStyle w:val="Akapitzlist"/>
        <w:numPr>
          <w:ilvl w:val="0"/>
          <w:numId w:val="25"/>
        </w:numPr>
        <w:spacing w:line="340" w:lineRule="atLeast"/>
        <w:ind w:left="426"/>
        <w:rPr>
          <w:rFonts w:cs="Times New Roman"/>
          <w:szCs w:val="24"/>
        </w:rPr>
      </w:pPr>
      <w:r w:rsidRPr="00207355">
        <w:rPr>
          <w:rFonts w:cs="Times New Roman"/>
          <w:szCs w:val="24"/>
        </w:rPr>
        <w:t>inicjowanie i podejmowanie współpracy między organami administracji publicznej w zakresie przeciwdziałania praniu pieniędzy oraz finansowaniu terroryzmu;</w:t>
      </w:r>
    </w:p>
    <w:p w14:paraId="2BDB4DC5" w14:textId="45A8FA06" w:rsidR="00C873E4" w:rsidRPr="006563D0" w:rsidRDefault="00C873E4" w:rsidP="006563D0">
      <w:pPr>
        <w:pStyle w:val="Akapitzlist"/>
        <w:numPr>
          <w:ilvl w:val="0"/>
          <w:numId w:val="25"/>
        </w:numPr>
        <w:spacing w:line="340" w:lineRule="atLeast"/>
        <w:ind w:left="426"/>
        <w:rPr>
          <w:rFonts w:cs="Times New Roman"/>
          <w:szCs w:val="24"/>
        </w:rPr>
      </w:pPr>
      <w:r w:rsidRPr="00257A48">
        <w:rPr>
          <w:rFonts w:cs="Times New Roman"/>
          <w:szCs w:val="24"/>
        </w:rPr>
        <w:t>opiniowanie krajowej oceny ryzyka prania pieniędzy oraz finansowania terroryzmu;</w:t>
      </w:r>
    </w:p>
    <w:p w14:paraId="1743386A" w14:textId="4433BF56" w:rsidR="00C873E4" w:rsidRPr="006563D0" w:rsidRDefault="00C873E4" w:rsidP="006563D0">
      <w:pPr>
        <w:pStyle w:val="Akapitzlist"/>
        <w:numPr>
          <w:ilvl w:val="0"/>
          <w:numId w:val="25"/>
        </w:numPr>
        <w:spacing w:line="340" w:lineRule="atLeast"/>
        <w:ind w:left="426"/>
        <w:rPr>
          <w:rFonts w:cs="Times New Roman"/>
          <w:szCs w:val="24"/>
        </w:rPr>
      </w:pPr>
      <w:r w:rsidRPr="006563D0">
        <w:rPr>
          <w:rFonts w:cs="Times New Roman"/>
          <w:szCs w:val="24"/>
        </w:rPr>
        <w:t>wydawanie rekomendacji dotyczących zastosowania wobec danej osoby lub podmiotu szczególnych środków ograniczających.</w:t>
      </w:r>
    </w:p>
    <w:p w14:paraId="08D7F6AE" w14:textId="4B9F50B0" w:rsidR="00C873E4" w:rsidRPr="00207355" w:rsidRDefault="002E66F8" w:rsidP="006563D0">
      <w:pPr>
        <w:spacing w:line="340" w:lineRule="atLeast"/>
        <w:rPr>
          <w:rFonts w:cs="Times New Roman"/>
          <w:szCs w:val="24"/>
        </w:rPr>
      </w:pPr>
      <w:r>
        <w:rPr>
          <w:rFonts w:cs="Times New Roman"/>
          <w:szCs w:val="24"/>
        </w:rPr>
        <w:t>Celem funkcjonowania Komitetu jest zapewnienie</w:t>
      </w:r>
      <w:r w:rsidR="00C873E4" w:rsidRPr="006657A5">
        <w:rPr>
          <w:rFonts w:cs="Times New Roman"/>
          <w:szCs w:val="24"/>
        </w:rPr>
        <w:t xml:space="preserve"> rzeczywiste</w:t>
      </w:r>
      <w:r>
        <w:rPr>
          <w:rFonts w:cs="Times New Roman"/>
          <w:szCs w:val="24"/>
        </w:rPr>
        <w:t>go</w:t>
      </w:r>
      <w:r w:rsidR="00C873E4" w:rsidRPr="005942A4">
        <w:rPr>
          <w:rFonts w:cs="Times New Roman"/>
          <w:szCs w:val="24"/>
        </w:rPr>
        <w:t xml:space="preserve"> wsparci</w:t>
      </w:r>
      <w:r>
        <w:rPr>
          <w:rFonts w:cs="Times New Roman"/>
          <w:szCs w:val="24"/>
        </w:rPr>
        <w:t>a</w:t>
      </w:r>
      <w:r w:rsidR="00C873E4" w:rsidRPr="006657A5">
        <w:rPr>
          <w:rFonts w:cs="Times New Roman"/>
          <w:szCs w:val="24"/>
        </w:rPr>
        <w:t xml:space="preserve"> dla Generalnego Inspektora</w:t>
      </w:r>
      <w:r>
        <w:rPr>
          <w:rFonts w:cs="Times New Roman"/>
          <w:szCs w:val="24"/>
        </w:rPr>
        <w:t>, poprzez ustanowienie</w:t>
      </w:r>
      <w:r w:rsidR="00C873E4" w:rsidRPr="006657A5">
        <w:rPr>
          <w:rFonts w:cs="Times New Roman"/>
          <w:szCs w:val="24"/>
        </w:rPr>
        <w:t xml:space="preserve"> platform</w:t>
      </w:r>
      <w:r>
        <w:rPr>
          <w:rFonts w:cs="Times New Roman"/>
          <w:szCs w:val="24"/>
        </w:rPr>
        <w:t>y</w:t>
      </w:r>
      <w:r w:rsidR="00C873E4" w:rsidRPr="006657A5">
        <w:rPr>
          <w:rFonts w:cs="Times New Roman"/>
          <w:szCs w:val="24"/>
        </w:rPr>
        <w:t xml:space="preserve"> wymiany wiedzy i doświadczeń w zakresie przeciwdziałania praniu pieniędzy i finansowaniu terro</w:t>
      </w:r>
      <w:r w:rsidR="00C873E4" w:rsidRPr="009F192D">
        <w:rPr>
          <w:rFonts w:cs="Times New Roman"/>
          <w:szCs w:val="24"/>
        </w:rPr>
        <w:t xml:space="preserve">ryzmu.   </w:t>
      </w:r>
    </w:p>
    <w:p w14:paraId="601F1F37" w14:textId="77777777" w:rsidR="00C873E4" w:rsidRPr="006563D0" w:rsidRDefault="00C873E4" w:rsidP="006563D0">
      <w:pPr>
        <w:spacing w:line="340" w:lineRule="atLeast"/>
        <w:rPr>
          <w:rFonts w:cs="Times New Roman"/>
          <w:szCs w:val="24"/>
        </w:rPr>
      </w:pPr>
      <w:r w:rsidRPr="002E495D">
        <w:rPr>
          <w:rFonts w:cs="Times New Roman"/>
          <w:szCs w:val="24"/>
        </w:rPr>
        <w:t>Projekt zakłada, że Przewodniczącym Komitetu będzie Generalny Inspektor, zaś Wiceprzewodniczącym dyrektor jednostki organizacyjnej Krajowej Administracji Skarbowej wyodrębnionej w tym celu w urzędzie obsługującym ministra właściwego do spraw finansów publi</w:t>
      </w:r>
      <w:r w:rsidRPr="00257A48">
        <w:rPr>
          <w:rFonts w:cs="Times New Roman"/>
          <w:szCs w:val="24"/>
        </w:rPr>
        <w:t>cznych. W skład Komitetu zostaną powołani przez ministra właściwego do spraw finansów publicznych przedstawiciele ministra właściwego do spraw wewnętrznych, Ministra Sprawiedliwości, Ministra Obrony Narodowej, ministra właściwego do spraw zagranicznych, ministra właściwego do spraw finansów publicznych, ministra właściwego do spraw informatyzacji, ministra właściwego do spraw gospodarki oraz Narodowego Banku Polskiego, Komisji Nadzoru Finansowego, Prokuratora Krajowego, Komendanta Krajowego Policj</w:t>
      </w:r>
      <w:r w:rsidRPr="006563D0">
        <w:rPr>
          <w:rFonts w:cs="Times New Roman"/>
          <w:szCs w:val="24"/>
        </w:rPr>
        <w:t xml:space="preserve">i, Komendanta Głównego Żandarmerii Wojskowej, Komendanta Głównego Straży Granicznej, Szefa Agencji Bezpieczeństwa Wewnętrznego, Szefa Centralnego Biura </w:t>
      </w:r>
      <w:r w:rsidRPr="006563D0">
        <w:rPr>
          <w:rFonts w:cs="Times New Roman"/>
          <w:szCs w:val="24"/>
        </w:rPr>
        <w:lastRenderedPageBreak/>
        <w:t xml:space="preserve">Antykorupcyjnego, Szefa Agencji Wywiadu Wojskowego, Szefa Służby Kontrwywiadu Wojskowego Szefa Biura Bezpieczeństwa Wewnętrznego. Projekt dodatkowo przewiduje możliwość powołania w skład Komitetu przedstawiciela Prezydenta RP. </w:t>
      </w:r>
    </w:p>
    <w:p w14:paraId="24FD6F0D" w14:textId="7B9B4B37" w:rsidR="00C873E4" w:rsidRPr="006563D0" w:rsidRDefault="00C873E4" w:rsidP="006563D0">
      <w:pPr>
        <w:spacing w:line="340" w:lineRule="atLeast"/>
        <w:rPr>
          <w:rFonts w:cs="Times New Roman"/>
          <w:szCs w:val="24"/>
        </w:rPr>
      </w:pPr>
      <w:r w:rsidRPr="006563D0">
        <w:rPr>
          <w:rFonts w:cs="Times New Roman"/>
          <w:szCs w:val="24"/>
        </w:rPr>
        <w:t>Z uwagi na zakres przewidzianych zadań członkowie Komitetu poza wiedzą z zakresu przeciwdziałania praniu pieniędzy oraz finansowaniu terroryzmu muszą dodatkowo spełniać wymagania określone w przepisach o ochronie informacji niejawnych w zakresie  dostępu do informacji niejawnych o klauzuli nie niższej niż „tajn</w:t>
      </w:r>
      <w:r w:rsidR="002E66F8">
        <w:rPr>
          <w:rFonts w:cs="Times New Roman"/>
          <w:szCs w:val="24"/>
        </w:rPr>
        <w:t>e</w:t>
      </w:r>
      <w:r w:rsidRPr="006657A5">
        <w:rPr>
          <w:rFonts w:cs="Times New Roman"/>
          <w:szCs w:val="24"/>
        </w:rPr>
        <w:t xml:space="preserve">”. Istotne jest aby, osoby powołane do Komitetu </w:t>
      </w:r>
      <w:r w:rsidRPr="00207355">
        <w:rPr>
          <w:rFonts w:cs="Times New Roman"/>
          <w:szCs w:val="24"/>
        </w:rPr>
        <w:t>pełniły funkcję osobiści</w:t>
      </w:r>
      <w:r w:rsidR="002E66F8">
        <w:rPr>
          <w:rFonts w:cs="Times New Roman"/>
          <w:szCs w:val="24"/>
        </w:rPr>
        <w:t>e</w:t>
      </w:r>
      <w:r w:rsidRPr="005942A4">
        <w:rPr>
          <w:rFonts w:cs="Times New Roman"/>
          <w:szCs w:val="24"/>
        </w:rPr>
        <w:t xml:space="preserve">. Ponadto </w:t>
      </w:r>
      <w:r w:rsidRPr="006657A5">
        <w:rPr>
          <w:rFonts w:cs="Times New Roman"/>
          <w:szCs w:val="24"/>
        </w:rPr>
        <w:t>projekt zakłada, że bieżącą obsługę prac Komitetu zapewni Sekretarz Komitetu powołany przez Przewodniczącego Komitetu spośród pracowników jednostki organizacyjnej Krajowej Administracji Skarbowej wyodrębnionej w tym celu</w:t>
      </w:r>
      <w:r w:rsidRPr="009F192D">
        <w:rPr>
          <w:rFonts w:cs="Times New Roman"/>
          <w:szCs w:val="24"/>
        </w:rPr>
        <w:t xml:space="preserve"> w urzędzie obsługującym ministra właściwego do spraw finansów publicznych. Do podstawowych kompetencji Sekretarza należeć</w:t>
      </w:r>
      <w:r w:rsidRPr="00207355">
        <w:rPr>
          <w:rFonts w:cs="Times New Roman"/>
          <w:szCs w:val="24"/>
        </w:rPr>
        <w:t xml:space="preserve"> będzie opracowywanie projek</w:t>
      </w:r>
      <w:r w:rsidRPr="002E495D">
        <w:rPr>
          <w:rFonts w:cs="Times New Roman"/>
          <w:szCs w:val="24"/>
        </w:rPr>
        <w:t xml:space="preserve">tów porządku obrad Komitetu na podstawi spraw wniesionych do rozpatrzenia przez Przewodniczącego Komitetu </w:t>
      </w:r>
      <w:r w:rsidRPr="00257A48">
        <w:rPr>
          <w:rFonts w:cs="Times New Roman"/>
          <w:szCs w:val="24"/>
        </w:rPr>
        <w:t>i członków Komitetu oraz bieżąca współpraca zarówno z Przewodniczącym Komitetu jak i członkami Komitetu. Niemniej to Przewodniczący Komitetu inicjował będzie ewentualne zmiany w tym porządku. Zapleczem Sekretarza w zakresie obsługi prac Komitetu stanowić m</w:t>
      </w:r>
      <w:r w:rsidRPr="006563D0">
        <w:rPr>
          <w:rFonts w:cs="Times New Roman"/>
          <w:szCs w:val="24"/>
        </w:rPr>
        <w:t xml:space="preserve">a w/w jednostka organizacyjna Krajowej Administracji Skarbowej. </w:t>
      </w:r>
    </w:p>
    <w:p w14:paraId="299A190B" w14:textId="287040E1" w:rsidR="00C873E4" w:rsidRPr="006563D0" w:rsidRDefault="00C873E4" w:rsidP="006563D0">
      <w:pPr>
        <w:spacing w:line="340" w:lineRule="atLeast"/>
        <w:rPr>
          <w:rFonts w:cs="Times New Roman"/>
          <w:szCs w:val="24"/>
        </w:rPr>
      </w:pPr>
      <w:r w:rsidRPr="006563D0">
        <w:rPr>
          <w:rFonts w:cs="Times New Roman"/>
          <w:szCs w:val="24"/>
        </w:rPr>
        <w:t>Przyjęto ponadto założenie, że posiedzenia Komitetu odbywać się będą co najmniej trzy razy w roku, uznając to jako minimalny czasookres spotkań. Jednocześnie pozostawiono inicjatywę zwoływania posiedzeń w zależności od aktualnych potrzeb przez Przewodniczącego Komitetu. Stosownie do art. 16 projektu, posiedzenia Komitetu odbywać się mają w obecności co najmniej połowy składu Komitetu, zaś rozstrzygnięcia zapadać mają w drodze głosownia zwykłą większością głosów, przy czym głos Przewodniczącego, a pod jego nieobecność głos Wiceprzewodniczącego - ma moc rozstrzygającą. Projekt przewiduje dodatkowo, że posiedzenia Komitetu będą protokołowane, a roczne sprawozdanie z działalności Komitetu będzie przygotowywane dla Prezesa Rady Ministrów.</w:t>
      </w:r>
    </w:p>
    <w:p w14:paraId="5A7634A1" w14:textId="0FA187FA" w:rsidR="00543014" w:rsidRPr="006563D0" w:rsidRDefault="00C873E4" w:rsidP="006563D0">
      <w:pPr>
        <w:spacing w:line="340" w:lineRule="atLeast"/>
        <w:rPr>
          <w:rFonts w:cs="Times New Roman"/>
          <w:szCs w:val="24"/>
        </w:rPr>
      </w:pPr>
      <w:r w:rsidRPr="006563D0">
        <w:rPr>
          <w:rFonts w:cs="Times New Roman"/>
          <w:szCs w:val="24"/>
        </w:rPr>
        <w:t>Szczegółowy sposób i tryb działania Komitetu określać ma  przyjęty przez Komitet i zatwierdzony przez Generalnego Inspektora regulamin.</w:t>
      </w:r>
    </w:p>
    <w:p w14:paraId="3F1069E8" w14:textId="13EF6693" w:rsidR="007F4AD0" w:rsidRPr="006563D0" w:rsidRDefault="007F4AD0" w:rsidP="006563D0">
      <w:pPr>
        <w:spacing w:line="340" w:lineRule="atLeast"/>
        <w:rPr>
          <w:rFonts w:cs="Times New Roman"/>
          <w:szCs w:val="24"/>
        </w:rPr>
      </w:pPr>
      <w:r w:rsidRPr="005942A4">
        <w:rPr>
          <w:rFonts w:cs="Times New Roman"/>
          <w:szCs w:val="24"/>
        </w:rPr>
        <w:t>Przepisy</w:t>
      </w:r>
      <w:r w:rsidRPr="00207355">
        <w:rPr>
          <w:rFonts w:cs="Times New Roman"/>
          <w:szCs w:val="24"/>
        </w:rPr>
        <w:t xml:space="preserve"> </w:t>
      </w:r>
      <w:r w:rsidR="00013878">
        <w:rPr>
          <w:rFonts w:cs="Times New Roman"/>
          <w:szCs w:val="24"/>
        </w:rPr>
        <w:t>R</w:t>
      </w:r>
      <w:r w:rsidRPr="006657A5">
        <w:rPr>
          <w:rFonts w:cs="Times New Roman"/>
          <w:szCs w:val="24"/>
        </w:rPr>
        <w:t>ozdziału</w:t>
      </w:r>
      <w:r w:rsidR="00013878">
        <w:rPr>
          <w:rFonts w:cs="Times New Roman"/>
          <w:szCs w:val="24"/>
        </w:rPr>
        <w:t xml:space="preserve"> 4 wprowadzają do projektu</w:t>
      </w:r>
      <w:r w:rsidRPr="005942A4">
        <w:rPr>
          <w:rFonts w:cs="Times New Roman"/>
          <w:szCs w:val="24"/>
        </w:rPr>
        <w:t xml:space="preserve"> ustawy</w:t>
      </w:r>
      <w:r w:rsidR="00013878">
        <w:rPr>
          <w:rFonts w:cs="Times New Roman"/>
          <w:szCs w:val="24"/>
        </w:rPr>
        <w:t xml:space="preserve"> wymogi</w:t>
      </w:r>
      <w:r w:rsidRPr="005942A4">
        <w:rPr>
          <w:rFonts w:cs="Times New Roman"/>
          <w:szCs w:val="24"/>
        </w:rPr>
        <w:t xml:space="preserve"> wynikają</w:t>
      </w:r>
      <w:r w:rsidR="00013878">
        <w:rPr>
          <w:rFonts w:cs="Times New Roman"/>
          <w:szCs w:val="24"/>
        </w:rPr>
        <w:t>ce z Sekcji 2 Rozdziału I</w:t>
      </w:r>
      <w:r w:rsidRPr="005942A4">
        <w:rPr>
          <w:rFonts w:cs="Times New Roman"/>
          <w:szCs w:val="24"/>
        </w:rPr>
        <w:t xml:space="preserve"> </w:t>
      </w:r>
      <w:r w:rsidR="00185471" w:rsidRPr="009F192D">
        <w:rPr>
          <w:rFonts w:cs="Times New Roman"/>
          <w:szCs w:val="24"/>
        </w:rPr>
        <w:t>Dyrektywy 2015/849</w:t>
      </w:r>
      <w:r w:rsidRPr="00207355">
        <w:rPr>
          <w:rFonts w:cs="Times New Roman"/>
          <w:szCs w:val="24"/>
        </w:rPr>
        <w:t xml:space="preserve">, która zobowiązuje państwa członkowskie do działań opartych o analizę ryzyka. </w:t>
      </w:r>
      <w:r w:rsidR="00013878">
        <w:rPr>
          <w:rFonts w:cs="Times New Roman"/>
          <w:szCs w:val="24"/>
        </w:rPr>
        <w:t xml:space="preserve">Przepisy </w:t>
      </w:r>
      <w:r w:rsidR="00013878" w:rsidRPr="00013878">
        <w:rPr>
          <w:rFonts w:cs="Times New Roman"/>
          <w:szCs w:val="24"/>
        </w:rPr>
        <w:t>Dyrektywy 2015/849</w:t>
      </w:r>
      <w:r w:rsidR="00013878">
        <w:rPr>
          <w:rFonts w:cs="Times New Roman"/>
          <w:szCs w:val="24"/>
        </w:rPr>
        <w:t xml:space="preserve"> </w:t>
      </w:r>
      <w:r w:rsidRPr="005942A4">
        <w:rPr>
          <w:rFonts w:cs="Times New Roman"/>
          <w:szCs w:val="24"/>
        </w:rPr>
        <w:t>w tej materii</w:t>
      </w:r>
      <w:r w:rsidR="00013878">
        <w:rPr>
          <w:rFonts w:cs="Times New Roman"/>
          <w:szCs w:val="24"/>
        </w:rPr>
        <w:t xml:space="preserve"> stanowią odzwierciedlenie stosownych rekomendacji FATF,  w tym przede wszystkim rekomendacji </w:t>
      </w:r>
      <w:r w:rsidR="00070704">
        <w:rPr>
          <w:rFonts w:cs="Times New Roman"/>
          <w:szCs w:val="24"/>
        </w:rPr>
        <w:t xml:space="preserve">FATF </w:t>
      </w:r>
      <w:r w:rsidR="00013878">
        <w:rPr>
          <w:rFonts w:cs="Times New Roman"/>
          <w:szCs w:val="24"/>
        </w:rPr>
        <w:t xml:space="preserve">nr 1. </w:t>
      </w:r>
      <w:r w:rsidRPr="005942A4">
        <w:rPr>
          <w:rFonts w:cs="Times New Roman"/>
          <w:szCs w:val="24"/>
        </w:rPr>
        <w:t xml:space="preserve"> </w:t>
      </w:r>
      <w:r w:rsidR="00013878">
        <w:rPr>
          <w:rFonts w:cs="Times New Roman"/>
          <w:szCs w:val="24"/>
        </w:rPr>
        <w:t>U</w:t>
      </w:r>
      <w:r w:rsidRPr="006657A5">
        <w:rPr>
          <w:rFonts w:cs="Times New Roman"/>
          <w:szCs w:val="24"/>
        </w:rPr>
        <w:t xml:space="preserve"> podstaw podejścia opartego na analizie ryzyka znajduje się konieczność identyfikacji, zrozumienia i ograniczenia przez państwa członkowskie dotyczącego je ryzyka w zakresie prania pieni</w:t>
      </w:r>
      <w:r w:rsidRPr="009F192D">
        <w:rPr>
          <w:rFonts w:cs="Times New Roman"/>
          <w:szCs w:val="24"/>
        </w:rPr>
        <w:t>ędzy i finansowania terroryzmu. Wyniki oceny ryzyka należy w stosownych przy</w:t>
      </w:r>
      <w:r w:rsidRPr="00207355">
        <w:rPr>
          <w:rFonts w:cs="Times New Roman"/>
          <w:szCs w:val="24"/>
        </w:rPr>
        <w:t xml:space="preserve">padkach udostępnić w sposób terminowy </w:t>
      </w:r>
      <w:r w:rsidR="00185471" w:rsidRPr="002E495D">
        <w:rPr>
          <w:rFonts w:cs="Times New Roman"/>
          <w:szCs w:val="24"/>
        </w:rPr>
        <w:t>instytucjom obowiązanym</w:t>
      </w:r>
      <w:r w:rsidRPr="00257A48">
        <w:rPr>
          <w:rFonts w:cs="Times New Roman"/>
          <w:szCs w:val="24"/>
        </w:rPr>
        <w:t xml:space="preserve"> w celu umożliwienia im identyfikacj</w:t>
      </w:r>
      <w:r w:rsidR="00070704">
        <w:rPr>
          <w:rFonts w:cs="Times New Roman"/>
          <w:szCs w:val="24"/>
        </w:rPr>
        <w:t>i</w:t>
      </w:r>
      <w:r w:rsidRPr="006657A5">
        <w:rPr>
          <w:rFonts w:cs="Times New Roman"/>
          <w:szCs w:val="24"/>
        </w:rPr>
        <w:t>, zrozumieni</w:t>
      </w:r>
      <w:r w:rsidR="00070704">
        <w:rPr>
          <w:rFonts w:cs="Times New Roman"/>
          <w:szCs w:val="24"/>
        </w:rPr>
        <w:t>a</w:t>
      </w:r>
      <w:r w:rsidRPr="006657A5">
        <w:rPr>
          <w:rFonts w:cs="Times New Roman"/>
          <w:szCs w:val="24"/>
        </w:rPr>
        <w:t xml:space="preserve"> i zarządzani</w:t>
      </w:r>
      <w:r w:rsidR="00070704">
        <w:rPr>
          <w:rFonts w:cs="Times New Roman"/>
          <w:szCs w:val="24"/>
        </w:rPr>
        <w:t xml:space="preserve">a </w:t>
      </w:r>
      <w:r w:rsidRPr="009F192D">
        <w:rPr>
          <w:rFonts w:cs="Times New Roman"/>
          <w:szCs w:val="24"/>
        </w:rPr>
        <w:t xml:space="preserve">własnymi czynnikami ryzyka oraz ograniczenia ich. Jednocześnie ocena ryzyka ma być regularnie aktualizowana. Oprócz tego, w </w:t>
      </w:r>
      <w:r w:rsidRPr="00207355">
        <w:rPr>
          <w:rFonts w:cs="Times New Roman"/>
          <w:szCs w:val="24"/>
        </w:rPr>
        <w:t xml:space="preserve">celu jeszcze lepszego identyfikowania, zrozumienia i zarządzania czynnikami ryzyka na </w:t>
      </w:r>
      <w:r w:rsidRPr="00207355">
        <w:rPr>
          <w:rFonts w:cs="Times New Roman"/>
          <w:szCs w:val="24"/>
        </w:rPr>
        <w:lastRenderedPageBreak/>
        <w:t>szczeblu U</w:t>
      </w:r>
      <w:r w:rsidR="00185471" w:rsidRPr="002E495D">
        <w:rPr>
          <w:rFonts w:cs="Times New Roman"/>
          <w:szCs w:val="24"/>
        </w:rPr>
        <w:t>E</w:t>
      </w:r>
      <w:r w:rsidRPr="00257A48">
        <w:rPr>
          <w:rFonts w:cs="Times New Roman"/>
          <w:szCs w:val="24"/>
        </w:rPr>
        <w:t xml:space="preserve"> oraz ograniczania ich państwa członkowskie powinny udostępniać wyniki swoich ocen ry</w:t>
      </w:r>
      <w:r w:rsidRPr="006563D0">
        <w:rPr>
          <w:rFonts w:cs="Times New Roman"/>
          <w:szCs w:val="24"/>
        </w:rPr>
        <w:t>zyka: sobie wzajemnie, Komisji oraz EUNB, EUNUiPPE i EUNGiPW (dalej</w:t>
      </w:r>
      <w:r w:rsidR="001D6140">
        <w:rPr>
          <w:rFonts w:cs="Times New Roman"/>
          <w:szCs w:val="24"/>
        </w:rPr>
        <w:t>, jako</w:t>
      </w:r>
      <w:r w:rsidRPr="006563D0">
        <w:rPr>
          <w:rFonts w:cs="Times New Roman"/>
          <w:szCs w:val="24"/>
        </w:rPr>
        <w:t xml:space="preserve"> „europejski</w:t>
      </w:r>
      <w:r w:rsidR="001D6140">
        <w:rPr>
          <w:rFonts w:cs="Times New Roman"/>
          <w:szCs w:val="24"/>
        </w:rPr>
        <w:t>e</w:t>
      </w:r>
      <w:r w:rsidRPr="006563D0">
        <w:rPr>
          <w:rFonts w:cs="Times New Roman"/>
          <w:szCs w:val="24"/>
        </w:rPr>
        <w:t xml:space="preserve"> urzęd</w:t>
      </w:r>
      <w:r w:rsidR="001D6140">
        <w:rPr>
          <w:rFonts w:cs="Times New Roman"/>
          <w:szCs w:val="24"/>
        </w:rPr>
        <w:t>y</w:t>
      </w:r>
      <w:r w:rsidRPr="006563D0">
        <w:rPr>
          <w:rFonts w:cs="Times New Roman"/>
          <w:szCs w:val="24"/>
        </w:rPr>
        <w:t xml:space="preserve"> nadzoru”).</w:t>
      </w:r>
    </w:p>
    <w:p w14:paraId="73BBD121" w14:textId="77777777" w:rsidR="007F4AD0" w:rsidRPr="006563D0" w:rsidRDefault="007F4AD0" w:rsidP="006563D0">
      <w:pPr>
        <w:spacing w:line="340" w:lineRule="atLeast"/>
        <w:rPr>
          <w:rFonts w:cs="Times New Roman"/>
          <w:szCs w:val="24"/>
        </w:rPr>
      </w:pPr>
      <w:r w:rsidRPr="006563D0">
        <w:rPr>
          <w:rFonts w:cs="Times New Roman"/>
          <w:szCs w:val="24"/>
        </w:rPr>
        <w:t xml:space="preserve"> Mając na uwadze powyższe, w przepisach niniejszego rozdziału znalazły się podstawowe zasady przygotowania krajowej oceny ryzyka prania pieniędzy oraz finansowania terroryzmu wraz z odniesieniem się do terminów jej aktualizacji.</w:t>
      </w:r>
    </w:p>
    <w:p w14:paraId="0752D5C1" w14:textId="4D9941F8" w:rsidR="007F4AD0" w:rsidRPr="009F192D" w:rsidRDefault="007F4AD0" w:rsidP="006563D0">
      <w:pPr>
        <w:spacing w:line="340" w:lineRule="atLeast"/>
        <w:rPr>
          <w:rFonts w:cs="Times New Roman"/>
          <w:szCs w:val="24"/>
        </w:rPr>
      </w:pPr>
      <w:r w:rsidRPr="006563D0">
        <w:rPr>
          <w:rFonts w:cs="Times New Roman"/>
          <w:szCs w:val="24"/>
        </w:rPr>
        <w:t>Projektowany art. 2</w:t>
      </w:r>
      <w:r w:rsidR="006B0B4F">
        <w:rPr>
          <w:rFonts w:cs="Times New Roman"/>
          <w:szCs w:val="24"/>
        </w:rPr>
        <w:t>0</w:t>
      </w:r>
      <w:r w:rsidRPr="006563D0">
        <w:rPr>
          <w:rFonts w:cs="Times New Roman"/>
          <w:szCs w:val="24"/>
        </w:rPr>
        <w:t xml:space="preserve"> ustawy na</w:t>
      </w:r>
      <w:r w:rsidR="00185471" w:rsidRPr="006563D0">
        <w:rPr>
          <w:rFonts w:cs="Times New Roman"/>
          <w:szCs w:val="24"/>
        </w:rPr>
        <w:t>kłada</w:t>
      </w:r>
      <w:r w:rsidRPr="006563D0">
        <w:rPr>
          <w:rFonts w:cs="Times New Roman"/>
          <w:szCs w:val="24"/>
        </w:rPr>
        <w:t xml:space="preserve"> na Generalnego Inspektora Informacji Finansowej obowiązek przygotowania krajowej oceny ryzyka.</w:t>
      </w:r>
      <w:r w:rsidR="00070704">
        <w:rPr>
          <w:rFonts w:cs="Times New Roman"/>
          <w:szCs w:val="24"/>
        </w:rPr>
        <w:t xml:space="preserve"> </w:t>
      </w:r>
      <w:r w:rsidRPr="006657A5">
        <w:rPr>
          <w:rFonts w:cs="Times New Roman"/>
          <w:szCs w:val="24"/>
        </w:rPr>
        <w:t xml:space="preserve"> </w:t>
      </w:r>
      <w:r w:rsidR="00070704">
        <w:rPr>
          <w:rFonts w:cs="Times New Roman"/>
          <w:szCs w:val="24"/>
        </w:rPr>
        <w:t>K</w:t>
      </w:r>
      <w:r w:rsidRPr="006657A5">
        <w:rPr>
          <w:rFonts w:cs="Times New Roman"/>
          <w:szCs w:val="24"/>
        </w:rPr>
        <w:t>rajow</w:t>
      </w:r>
      <w:r w:rsidR="006B0B4F">
        <w:rPr>
          <w:rFonts w:cs="Times New Roman"/>
          <w:szCs w:val="24"/>
        </w:rPr>
        <w:t>a</w:t>
      </w:r>
      <w:r w:rsidRPr="006657A5">
        <w:rPr>
          <w:rFonts w:cs="Times New Roman"/>
          <w:szCs w:val="24"/>
        </w:rPr>
        <w:t xml:space="preserve"> ocen</w:t>
      </w:r>
      <w:r w:rsidR="006B0B4F">
        <w:rPr>
          <w:rFonts w:cs="Times New Roman"/>
          <w:szCs w:val="24"/>
        </w:rPr>
        <w:t>a</w:t>
      </w:r>
      <w:r w:rsidRPr="006657A5">
        <w:rPr>
          <w:rFonts w:cs="Times New Roman"/>
          <w:szCs w:val="24"/>
        </w:rPr>
        <w:t xml:space="preserve"> ryzyka </w:t>
      </w:r>
      <w:r w:rsidR="00070704">
        <w:rPr>
          <w:rFonts w:cs="Times New Roman"/>
          <w:szCs w:val="24"/>
        </w:rPr>
        <w:t>powinna uwzględniać wnioski ze</w:t>
      </w:r>
      <w:r w:rsidRPr="006657A5">
        <w:rPr>
          <w:rFonts w:cs="Times New Roman"/>
          <w:szCs w:val="24"/>
        </w:rPr>
        <w:t xml:space="preserve"> sprawozdani</w:t>
      </w:r>
      <w:r w:rsidR="00070704">
        <w:rPr>
          <w:rFonts w:cs="Times New Roman"/>
          <w:szCs w:val="24"/>
        </w:rPr>
        <w:t>a</w:t>
      </w:r>
      <w:r w:rsidRPr="006657A5">
        <w:rPr>
          <w:rFonts w:cs="Times New Roman"/>
          <w:szCs w:val="24"/>
        </w:rPr>
        <w:t xml:space="preserve"> z ponadnarodowej oceny ryzyka pra</w:t>
      </w:r>
      <w:r w:rsidRPr="009F192D">
        <w:rPr>
          <w:rFonts w:cs="Times New Roman"/>
          <w:szCs w:val="24"/>
        </w:rPr>
        <w:t>nia pieniędzy oraz finansowania terroryzmu, wskazane w art. 6 ust. 1-3 Dyr</w:t>
      </w:r>
      <w:r w:rsidRPr="00207355">
        <w:rPr>
          <w:rFonts w:cs="Times New Roman"/>
          <w:szCs w:val="24"/>
        </w:rPr>
        <w:t xml:space="preserve">ektywy 2015/849. </w:t>
      </w:r>
      <w:r w:rsidR="00070704">
        <w:rPr>
          <w:rFonts w:cs="Times New Roman"/>
          <w:szCs w:val="24"/>
        </w:rPr>
        <w:t xml:space="preserve"> W</w:t>
      </w:r>
      <w:r w:rsidRPr="006657A5">
        <w:rPr>
          <w:rFonts w:cs="Times New Roman"/>
          <w:szCs w:val="24"/>
        </w:rPr>
        <w:t>skazano terminy przygotowania pierwszej i kolejnych krajowych ocen ryzyka.</w:t>
      </w:r>
    </w:p>
    <w:p w14:paraId="0FDEFCD9" w14:textId="6A17A1C8" w:rsidR="007F4AD0" w:rsidRPr="009F192D" w:rsidRDefault="007F4AD0" w:rsidP="006563D0">
      <w:pPr>
        <w:spacing w:line="340" w:lineRule="atLeast"/>
        <w:rPr>
          <w:rFonts w:cs="Times New Roman"/>
          <w:szCs w:val="24"/>
        </w:rPr>
      </w:pPr>
      <w:r w:rsidRPr="00207355">
        <w:rPr>
          <w:rFonts w:cs="Times New Roman"/>
          <w:szCs w:val="24"/>
        </w:rPr>
        <w:t xml:space="preserve">Implementując art. 8 </w:t>
      </w:r>
      <w:r w:rsidRPr="002E495D">
        <w:rPr>
          <w:rFonts w:cs="Times New Roman"/>
          <w:szCs w:val="24"/>
        </w:rPr>
        <w:t>Dyrektywy</w:t>
      </w:r>
      <w:r w:rsidR="00185471" w:rsidRPr="00257A48">
        <w:rPr>
          <w:rFonts w:cs="Times New Roman"/>
          <w:szCs w:val="24"/>
        </w:rPr>
        <w:t xml:space="preserve"> 2015</w:t>
      </w:r>
      <w:r w:rsidR="00185471" w:rsidRPr="006563D0">
        <w:rPr>
          <w:rFonts w:cs="Times New Roman"/>
          <w:szCs w:val="24"/>
        </w:rPr>
        <w:t xml:space="preserve">/849 </w:t>
      </w:r>
      <w:r w:rsidRPr="006563D0">
        <w:rPr>
          <w:rFonts w:cs="Times New Roman"/>
          <w:szCs w:val="24"/>
        </w:rPr>
        <w:t>zobowiązano instytucje obowiązane do podjęcia odpowiednich działań w celu zidentyfikowania i ocenienia ich ryzyka związanego z praniem pieniędzy i finansowaniem terroryzmu. Jedn</w:t>
      </w:r>
      <w:r w:rsidR="00185471" w:rsidRPr="006563D0">
        <w:rPr>
          <w:rFonts w:cs="Times New Roman"/>
          <w:szCs w:val="24"/>
        </w:rPr>
        <w:t>ocześnie wskazano możliwość nie</w:t>
      </w:r>
      <w:r w:rsidRPr="006563D0">
        <w:rPr>
          <w:rFonts w:cs="Times New Roman"/>
          <w:szCs w:val="24"/>
        </w:rPr>
        <w:t xml:space="preserve">sporządzania ocen ryzyka, przy uwzględnieniu </w:t>
      </w:r>
      <w:r w:rsidR="00747256">
        <w:rPr>
          <w:rFonts w:cs="Times New Roman"/>
          <w:szCs w:val="24"/>
        </w:rPr>
        <w:t>określonych</w:t>
      </w:r>
      <w:r w:rsidRPr="006657A5">
        <w:rPr>
          <w:rFonts w:cs="Times New Roman"/>
          <w:szCs w:val="24"/>
        </w:rPr>
        <w:t xml:space="preserve"> warunków. </w:t>
      </w:r>
    </w:p>
    <w:p w14:paraId="7896B8FE" w14:textId="0B84A236" w:rsidR="007F4AD0" w:rsidRPr="006563D0" w:rsidRDefault="007F4AD0" w:rsidP="006563D0">
      <w:pPr>
        <w:spacing w:line="340" w:lineRule="atLeast"/>
        <w:rPr>
          <w:rFonts w:cs="Times New Roman"/>
          <w:szCs w:val="24"/>
        </w:rPr>
      </w:pPr>
      <w:r w:rsidRPr="00207355">
        <w:rPr>
          <w:rFonts w:cs="Times New Roman"/>
          <w:szCs w:val="24"/>
        </w:rPr>
        <w:t>Realizacja wymogów wynikając</w:t>
      </w:r>
      <w:r w:rsidRPr="002E495D">
        <w:rPr>
          <w:rFonts w:cs="Times New Roman"/>
          <w:szCs w:val="24"/>
        </w:rPr>
        <w:t xml:space="preserve">ych z art. 8 Dyrektywy 2015/849 nastąpi poprzez </w:t>
      </w:r>
      <w:r w:rsidRPr="00257A48">
        <w:rPr>
          <w:rFonts w:cs="Times New Roman"/>
          <w:szCs w:val="24"/>
        </w:rPr>
        <w:t>zobowiązanie instytucji obowiązanych do posiadania</w:t>
      </w:r>
      <w:r w:rsidR="00747256">
        <w:rPr>
          <w:rFonts w:cs="Times New Roman"/>
          <w:szCs w:val="24"/>
        </w:rPr>
        <w:t xml:space="preserve"> ocen ryzyka, o których mowa w art. 2</w:t>
      </w:r>
      <w:r w:rsidR="006B0B4F">
        <w:rPr>
          <w:rFonts w:cs="Times New Roman"/>
          <w:szCs w:val="24"/>
        </w:rPr>
        <w:t>2</w:t>
      </w:r>
      <w:r w:rsidR="00BC133F">
        <w:rPr>
          <w:rFonts w:cs="Times New Roman"/>
          <w:szCs w:val="24"/>
        </w:rPr>
        <w:t xml:space="preserve">, których zakres powinien uwzględniać </w:t>
      </w:r>
      <w:r w:rsidRPr="009F192D">
        <w:rPr>
          <w:rFonts w:cs="Times New Roman"/>
          <w:szCs w:val="24"/>
        </w:rPr>
        <w:t>charakter</w:t>
      </w:r>
      <w:r w:rsidRPr="002E495D">
        <w:rPr>
          <w:rFonts w:cs="Times New Roman"/>
          <w:szCs w:val="24"/>
        </w:rPr>
        <w:t xml:space="preserve"> i wielkości instytucji obowiązanej. Jednocześnie szczegółowo odniesiono się do zawartości przedmiotowych dokumentów, wymieniając kol</w:t>
      </w:r>
      <w:r w:rsidRPr="00257A48">
        <w:rPr>
          <w:rFonts w:cs="Times New Roman"/>
          <w:szCs w:val="24"/>
        </w:rPr>
        <w:t xml:space="preserve">ejno jakie kwestie mają określać. </w:t>
      </w:r>
    </w:p>
    <w:p w14:paraId="4943CFE6" w14:textId="5BC563AB" w:rsidR="007F4AD0" w:rsidRPr="006563D0" w:rsidRDefault="007F4AD0" w:rsidP="006563D0">
      <w:pPr>
        <w:spacing w:line="340" w:lineRule="atLeast"/>
        <w:rPr>
          <w:rFonts w:cs="Times New Roman"/>
          <w:szCs w:val="24"/>
        </w:rPr>
      </w:pPr>
      <w:r w:rsidRPr="006563D0">
        <w:rPr>
          <w:rFonts w:cs="Times New Roman"/>
          <w:szCs w:val="24"/>
        </w:rPr>
        <w:t>Art. 2</w:t>
      </w:r>
      <w:r w:rsidR="006B0B4F">
        <w:rPr>
          <w:rFonts w:cs="Times New Roman"/>
          <w:szCs w:val="24"/>
        </w:rPr>
        <w:t>4</w:t>
      </w:r>
      <w:r w:rsidRPr="006563D0">
        <w:rPr>
          <w:rFonts w:cs="Times New Roman"/>
          <w:szCs w:val="24"/>
        </w:rPr>
        <w:t xml:space="preserve"> wymienia kolejn</w:t>
      </w:r>
      <w:r w:rsidR="006B0B4F">
        <w:rPr>
          <w:rFonts w:cs="Times New Roman"/>
          <w:szCs w:val="24"/>
        </w:rPr>
        <w:t>e</w:t>
      </w:r>
      <w:r w:rsidRPr="006563D0">
        <w:rPr>
          <w:rFonts w:cs="Times New Roman"/>
          <w:szCs w:val="24"/>
        </w:rPr>
        <w:t xml:space="preserve"> elementy, z których składa się krajowa ocena ryzyka. Wskazuje na obowiązek jej przedstawienia przez Generalnego Inspektora do zaopiniowania Komitetowi, a następnie na możliwe rozstrzygnięcia Komitetu. </w:t>
      </w:r>
    </w:p>
    <w:p w14:paraId="498B8C7C" w14:textId="3E8D6BDE" w:rsidR="007F4AD0" w:rsidRPr="006563D0" w:rsidRDefault="007F4AD0" w:rsidP="006563D0">
      <w:pPr>
        <w:spacing w:line="340" w:lineRule="atLeast"/>
        <w:rPr>
          <w:rFonts w:cs="Times New Roman"/>
          <w:szCs w:val="24"/>
        </w:rPr>
      </w:pPr>
      <w:r w:rsidRPr="006563D0">
        <w:rPr>
          <w:rFonts w:cs="Times New Roman"/>
          <w:szCs w:val="24"/>
        </w:rPr>
        <w:t>Art. 2</w:t>
      </w:r>
      <w:r w:rsidR="006B0B4F">
        <w:rPr>
          <w:rFonts w:cs="Times New Roman"/>
          <w:szCs w:val="24"/>
        </w:rPr>
        <w:t>5</w:t>
      </w:r>
      <w:r w:rsidRPr="006563D0">
        <w:rPr>
          <w:rFonts w:cs="Times New Roman"/>
          <w:szCs w:val="24"/>
        </w:rPr>
        <w:t xml:space="preserve"> określa tryb akceptacji krajowej oceny ryzyka, następnie jej publikacji oraz przekazania do Komisji Europejskiej, europejskich urzędów nadzoru oraz jednostek analityki finansowej innych państw członkowskich </w:t>
      </w:r>
      <w:r w:rsidR="00185471" w:rsidRPr="006563D0">
        <w:rPr>
          <w:rFonts w:cs="Times New Roman"/>
          <w:szCs w:val="24"/>
        </w:rPr>
        <w:t>UE</w:t>
      </w:r>
      <w:r w:rsidRPr="006563D0">
        <w:rPr>
          <w:rFonts w:cs="Times New Roman"/>
          <w:szCs w:val="24"/>
        </w:rPr>
        <w:t>, realizując tym samym wymogi wynikające z art. 7 Dyrektywy</w:t>
      </w:r>
      <w:r w:rsidR="00185471" w:rsidRPr="006563D0">
        <w:rPr>
          <w:rFonts w:cs="Times New Roman"/>
          <w:szCs w:val="24"/>
        </w:rPr>
        <w:t xml:space="preserve"> 2015/849</w:t>
      </w:r>
      <w:r w:rsidRPr="006563D0">
        <w:rPr>
          <w:rFonts w:cs="Times New Roman"/>
          <w:szCs w:val="24"/>
        </w:rPr>
        <w:t xml:space="preserve">. </w:t>
      </w:r>
    </w:p>
    <w:p w14:paraId="03CDE693" w14:textId="274C6B1C" w:rsidR="00543014" w:rsidRPr="006563D0" w:rsidRDefault="007F4AD0" w:rsidP="006563D0">
      <w:pPr>
        <w:spacing w:line="340" w:lineRule="atLeast"/>
        <w:rPr>
          <w:rFonts w:cs="Times New Roman"/>
          <w:szCs w:val="24"/>
        </w:rPr>
      </w:pPr>
      <w:r w:rsidRPr="006563D0">
        <w:rPr>
          <w:rFonts w:cs="Times New Roman"/>
          <w:szCs w:val="24"/>
        </w:rPr>
        <w:t>Implementacja wymogu wynikającego z art. 7 ust. 4 lit. a) Dyrektywy</w:t>
      </w:r>
      <w:r w:rsidR="00185471" w:rsidRPr="006563D0">
        <w:rPr>
          <w:rFonts w:cs="Times New Roman"/>
          <w:szCs w:val="24"/>
        </w:rPr>
        <w:t xml:space="preserve"> 2015/849</w:t>
      </w:r>
      <w:r w:rsidRPr="006563D0">
        <w:rPr>
          <w:rFonts w:cs="Times New Roman"/>
          <w:szCs w:val="24"/>
        </w:rPr>
        <w:t>, zgodnie z którym każde państwo członkowskie w odniesieniu do oceny ryzyka wykorzystuje ją do poprawy swojego systemu przeciwdziałania praniu pieniędzy oraz finansowaniu terroryzmu, znalazła swoje miejsce w art. 2</w:t>
      </w:r>
      <w:r w:rsidR="006B0B4F">
        <w:rPr>
          <w:rFonts w:cs="Times New Roman"/>
          <w:szCs w:val="24"/>
        </w:rPr>
        <w:t>6</w:t>
      </w:r>
      <w:r w:rsidRPr="006563D0">
        <w:rPr>
          <w:rFonts w:cs="Times New Roman"/>
          <w:szCs w:val="24"/>
        </w:rPr>
        <w:t xml:space="preserve">, a następnie </w:t>
      </w:r>
      <w:r w:rsidR="00185471" w:rsidRPr="006563D0">
        <w:rPr>
          <w:rFonts w:cs="Times New Roman"/>
          <w:szCs w:val="24"/>
        </w:rPr>
        <w:t xml:space="preserve">w art. </w:t>
      </w:r>
      <w:r w:rsidRPr="006563D0">
        <w:rPr>
          <w:rFonts w:cs="Times New Roman"/>
          <w:szCs w:val="24"/>
        </w:rPr>
        <w:t>2</w:t>
      </w:r>
      <w:r w:rsidR="006B0B4F">
        <w:rPr>
          <w:rFonts w:cs="Times New Roman"/>
          <w:szCs w:val="24"/>
        </w:rPr>
        <w:t>7</w:t>
      </w:r>
      <w:r w:rsidRPr="006563D0">
        <w:rPr>
          <w:rFonts w:cs="Times New Roman"/>
          <w:szCs w:val="24"/>
        </w:rPr>
        <w:t xml:space="preserve"> projektowanej ustawy. Treść projektowanych przepisów została skonstruowana zgodnie z zasadami wskazanymi w Przewodniku F</w:t>
      </w:r>
      <w:r w:rsidR="00185471" w:rsidRPr="006563D0">
        <w:rPr>
          <w:rFonts w:cs="Times New Roman"/>
          <w:szCs w:val="24"/>
        </w:rPr>
        <w:t>ATF</w:t>
      </w:r>
      <w:r w:rsidRPr="006563D0">
        <w:rPr>
          <w:rFonts w:cs="Times New Roman"/>
          <w:szCs w:val="24"/>
        </w:rPr>
        <w:t xml:space="preserve"> „National Money Laundering and Terrorist Financing Risk Assessment”. Przedmiotowymi przepisami wprowadzono obowiązek przygotowania przez Generalnego Inspektora strategii przeciwdziałania praniu pieniędzy oraz finansowaniu terroryzmu, zawierającej plan działań mających na celu ograniczenie ryzyka związanego z praniem pieniędzy oraz finansowaniem terroryzmu. Zgodnie z zamysłem </w:t>
      </w:r>
      <w:r w:rsidR="00BC133F">
        <w:rPr>
          <w:rFonts w:cs="Times New Roman"/>
          <w:szCs w:val="24"/>
        </w:rPr>
        <w:t>projektodawcy</w:t>
      </w:r>
      <w:r w:rsidRPr="006657A5">
        <w:rPr>
          <w:rFonts w:cs="Times New Roman"/>
          <w:szCs w:val="24"/>
        </w:rPr>
        <w:t xml:space="preserve">, wnioski sformułowane podczas przygotowania oceny ryzyka </w:t>
      </w:r>
      <w:r w:rsidR="00185471" w:rsidRPr="009F192D">
        <w:rPr>
          <w:rFonts w:cs="Times New Roman"/>
          <w:szCs w:val="24"/>
        </w:rPr>
        <w:t xml:space="preserve">prania pieniędzy i finansowania </w:t>
      </w:r>
      <w:r w:rsidR="00185471" w:rsidRPr="009F192D">
        <w:rPr>
          <w:rFonts w:cs="Times New Roman"/>
          <w:szCs w:val="24"/>
        </w:rPr>
        <w:lastRenderedPageBreak/>
        <w:t>terroryzmu</w:t>
      </w:r>
      <w:r w:rsidRPr="00207355">
        <w:rPr>
          <w:rFonts w:cs="Times New Roman"/>
          <w:szCs w:val="24"/>
        </w:rPr>
        <w:t xml:space="preserve"> </w:t>
      </w:r>
      <w:r w:rsidR="00BC133F">
        <w:rPr>
          <w:rFonts w:cs="Times New Roman"/>
          <w:szCs w:val="24"/>
        </w:rPr>
        <w:t xml:space="preserve">zostaną uwzględnione w </w:t>
      </w:r>
      <w:r w:rsidRPr="006657A5">
        <w:rPr>
          <w:rFonts w:cs="Times New Roman"/>
          <w:szCs w:val="24"/>
        </w:rPr>
        <w:t xml:space="preserve">strategii </w:t>
      </w:r>
      <w:r w:rsidR="00BC133F" w:rsidRPr="00BC133F">
        <w:rPr>
          <w:rFonts w:cs="Times New Roman"/>
          <w:szCs w:val="24"/>
        </w:rPr>
        <w:t>przeciwdziałania praniu pieniędzy oraz finansowaniu terroryzmu</w:t>
      </w:r>
      <w:r w:rsidRPr="00207355">
        <w:rPr>
          <w:rFonts w:cs="Times New Roman"/>
          <w:szCs w:val="24"/>
        </w:rPr>
        <w:t>. Generalny Inspektor</w:t>
      </w:r>
      <w:r w:rsidR="006B0B4F">
        <w:rPr>
          <w:rFonts w:cs="Times New Roman"/>
          <w:szCs w:val="24"/>
        </w:rPr>
        <w:t xml:space="preserve">, </w:t>
      </w:r>
      <w:r w:rsidR="006B0B4F" w:rsidRPr="00207355">
        <w:rPr>
          <w:rFonts w:cs="Times New Roman"/>
          <w:szCs w:val="24"/>
        </w:rPr>
        <w:t>zgodnie z art. 6 ust. 4 Dy</w:t>
      </w:r>
      <w:r w:rsidR="006B0B4F" w:rsidRPr="002E495D">
        <w:rPr>
          <w:rFonts w:cs="Times New Roman"/>
          <w:szCs w:val="24"/>
        </w:rPr>
        <w:t>rektywy 2015/849</w:t>
      </w:r>
      <w:r w:rsidRPr="00207355">
        <w:rPr>
          <w:rFonts w:cs="Times New Roman"/>
          <w:szCs w:val="24"/>
        </w:rPr>
        <w:t xml:space="preserve"> ma obowiązek uwzględnić w strategii zalecenia Komisji Europejskiej</w:t>
      </w:r>
      <w:r w:rsidRPr="00257A48">
        <w:rPr>
          <w:rFonts w:cs="Times New Roman"/>
          <w:szCs w:val="24"/>
        </w:rPr>
        <w:t>. Art. 2</w:t>
      </w:r>
      <w:r w:rsidR="002C3FB9">
        <w:rPr>
          <w:rFonts w:cs="Times New Roman"/>
          <w:szCs w:val="24"/>
        </w:rPr>
        <w:t>6</w:t>
      </w:r>
      <w:r w:rsidRPr="00257A48">
        <w:rPr>
          <w:rFonts w:cs="Times New Roman"/>
          <w:szCs w:val="24"/>
        </w:rPr>
        <w:t xml:space="preserve"> nakłada również obowiązek uaktualniania strategii po każdorazowym przygotowaniu kolejnych krajowych ocen ryzyka bądź </w:t>
      </w:r>
      <w:r w:rsidR="00185471" w:rsidRPr="006563D0">
        <w:rPr>
          <w:rFonts w:cs="Times New Roman"/>
          <w:szCs w:val="24"/>
        </w:rPr>
        <w:t>w przypadku wydania nowych zaleceń</w:t>
      </w:r>
      <w:r w:rsidRPr="006563D0">
        <w:rPr>
          <w:rFonts w:cs="Times New Roman"/>
          <w:szCs w:val="24"/>
        </w:rPr>
        <w:t xml:space="preserve"> przez Komisję Europejską. </w:t>
      </w:r>
    </w:p>
    <w:p w14:paraId="3B9DAC5A" w14:textId="1FF55F6C" w:rsidR="001C7AB8" w:rsidRPr="009F192D" w:rsidRDefault="00A652E6" w:rsidP="006563D0">
      <w:pPr>
        <w:spacing w:line="340" w:lineRule="atLeast"/>
        <w:rPr>
          <w:rFonts w:cs="Times New Roman"/>
          <w:szCs w:val="24"/>
        </w:rPr>
      </w:pPr>
      <w:r>
        <w:rPr>
          <w:rFonts w:cs="Times New Roman"/>
          <w:szCs w:val="24"/>
        </w:rPr>
        <w:t xml:space="preserve">W Rozdziale 5 uregulowano zasady stosowania przez instytucje obowiązane środków bezpieczeństwa finansowego. </w:t>
      </w:r>
      <w:r w:rsidR="001C7AB8" w:rsidRPr="005942A4">
        <w:rPr>
          <w:rFonts w:cs="Times New Roman"/>
          <w:szCs w:val="24"/>
        </w:rPr>
        <w:t xml:space="preserve">Art. </w:t>
      </w:r>
      <w:r w:rsidR="00850282">
        <w:rPr>
          <w:rFonts w:cs="Times New Roman"/>
          <w:szCs w:val="24"/>
        </w:rPr>
        <w:t>28</w:t>
      </w:r>
      <w:r w:rsidR="001C7AB8" w:rsidRPr="00207355">
        <w:rPr>
          <w:rFonts w:cs="Times New Roman"/>
          <w:szCs w:val="24"/>
        </w:rPr>
        <w:t xml:space="preserve"> ust. 1 statuuje</w:t>
      </w:r>
      <w:r>
        <w:rPr>
          <w:rFonts w:cs="Times New Roman"/>
          <w:szCs w:val="24"/>
        </w:rPr>
        <w:t xml:space="preserve"> </w:t>
      </w:r>
      <w:r w:rsidR="001C7AB8" w:rsidRPr="006657A5">
        <w:rPr>
          <w:rFonts w:cs="Times New Roman"/>
          <w:szCs w:val="24"/>
        </w:rPr>
        <w:t>obowiązek instytucji obowiązanych do zastosowania środków bezpieczeństwa finansowego. Konkretyzacja wymagań związanych z prawidłową realizacją tego obowiązku określona jest w kolejnych artykułach rozdziału 5 ustawy. Obecnie obowiązek ten określony jest w a</w:t>
      </w:r>
      <w:r w:rsidR="001C7AB8" w:rsidRPr="009F192D">
        <w:rPr>
          <w:rFonts w:cs="Times New Roman"/>
          <w:szCs w:val="24"/>
        </w:rPr>
        <w:t xml:space="preserve">rt. 8b ust. 1 </w:t>
      </w:r>
      <w:r>
        <w:rPr>
          <w:rFonts w:cs="Times New Roman"/>
          <w:szCs w:val="24"/>
        </w:rPr>
        <w:t>o p.p.p.f.t. Projekt u</w:t>
      </w:r>
      <w:r w:rsidR="001C7AB8" w:rsidRPr="006657A5">
        <w:rPr>
          <w:rFonts w:cs="Times New Roman"/>
          <w:szCs w:val="24"/>
        </w:rPr>
        <w:t>staw</w:t>
      </w:r>
      <w:r>
        <w:rPr>
          <w:rFonts w:cs="Times New Roman"/>
          <w:szCs w:val="24"/>
        </w:rPr>
        <w:t>y</w:t>
      </w:r>
      <w:r w:rsidR="001C7AB8" w:rsidRPr="006657A5">
        <w:rPr>
          <w:rFonts w:cs="Times New Roman"/>
          <w:szCs w:val="24"/>
        </w:rPr>
        <w:t xml:space="preserve"> pozostaje przy ugruntowanej na tle obecnych przepisów terminologii i konsekwentnie na określenie „środków należytej staranności wobec klienta” posługuje się terminem „środki bezpieczeństwa finansowego”.  </w:t>
      </w:r>
    </w:p>
    <w:p w14:paraId="2AE9D95B" w14:textId="6C360C7A" w:rsidR="001C7AB8" w:rsidRPr="006563D0" w:rsidRDefault="001C7AB8" w:rsidP="006563D0">
      <w:pPr>
        <w:spacing w:line="340" w:lineRule="atLeast"/>
        <w:rPr>
          <w:rFonts w:cs="Times New Roman"/>
          <w:szCs w:val="24"/>
        </w:rPr>
      </w:pPr>
      <w:r w:rsidRPr="009F192D">
        <w:rPr>
          <w:rFonts w:cs="Times New Roman"/>
          <w:szCs w:val="24"/>
        </w:rPr>
        <w:t xml:space="preserve">Art. </w:t>
      </w:r>
      <w:r w:rsidR="00850282">
        <w:rPr>
          <w:rFonts w:cs="Times New Roman"/>
          <w:szCs w:val="24"/>
        </w:rPr>
        <w:t>28</w:t>
      </w:r>
      <w:r w:rsidR="005B09A3" w:rsidRPr="006657A5">
        <w:rPr>
          <w:rFonts w:cs="Times New Roman"/>
          <w:szCs w:val="24"/>
        </w:rPr>
        <w:t xml:space="preserve"> </w:t>
      </w:r>
      <w:r w:rsidRPr="009F192D">
        <w:rPr>
          <w:rFonts w:cs="Times New Roman"/>
          <w:szCs w:val="24"/>
        </w:rPr>
        <w:t xml:space="preserve">ust. </w:t>
      </w:r>
      <w:r w:rsidR="005B09A3" w:rsidRPr="002E495D">
        <w:rPr>
          <w:rFonts w:cs="Times New Roman"/>
          <w:szCs w:val="24"/>
        </w:rPr>
        <w:t xml:space="preserve">5 </w:t>
      </w:r>
      <w:r w:rsidRPr="00257A48">
        <w:rPr>
          <w:rFonts w:cs="Times New Roman"/>
          <w:szCs w:val="24"/>
        </w:rPr>
        <w:t>transponuje do krajowego porządku prawnego, wynikającą z art. 13 ust. 2 Dyrektywy 2015/849 zasadę, że zakres środków bezpieczeństwa finansowego zastosowanych w danym przypadku jest uzależniony od stopnia rozpoznanego ryzyka prania pieniędzy lub finansowani</w:t>
      </w:r>
      <w:r w:rsidRPr="006563D0">
        <w:rPr>
          <w:rFonts w:cs="Times New Roman"/>
          <w:szCs w:val="24"/>
        </w:rPr>
        <w:t xml:space="preserve">a terroryzmu związanego z danymi stosunkami gospodarczymi lub transakcją okazjonalną. W celu określenia właściwego dla danych stosunków gospodarczych lub transakcji okazjonalnej zakresu środków bezpieczeństwa finansowego instytucja obowiązana powinna najpierw </w:t>
      </w:r>
      <w:r w:rsidR="005B09A3" w:rsidRPr="006563D0">
        <w:rPr>
          <w:rFonts w:cs="Times New Roman"/>
          <w:szCs w:val="24"/>
        </w:rPr>
        <w:t xml:space="preserve">rozpoznać </w:t>
      </w:r>
      <w:r w:rsidRPr="006563D0">
        <w:rPr>
          <w:rFonts w:cs="Times New Roman"/>
          <w:szCs w:val="24"/>
        </w:rPr>
        <w:t xml:space="preserve">związane z nimi ryzyko prania pieniędzy lub finansowania terroryzmu, a następnie dokonać oceny rozpoznanego ryzyka (ust. 2 i 3). </w:t>
      </w:r>
    </w:p>
    <w:p w14:paraId="684437AC" w14:textId="7089856D" w:rsidR="001C7AB8" w:rsidRPr="006563D0" w:rsidRDefault="001C7AB8" w:rsidP="006563D0">
      <w:pPr>
        <w:spacing w:line="340" w:lineRule="atLeast"/>
        <w:rPr>
          <w:rFonts w:cs="Times New Roman"/>
          <w:szCs w:val="24"/>
        </w:rPr>
      </w:pPr>
      <w:r w:rsidRPr="006563D0">
        <w:rPr>
          <w:rFonts w:cs="Times New Roman"/>
          <w:szCs w:val="24"/>
        </w:rPr>
        <w:t xml:space="preserve">W ust. </w:t>
      </w:r>
      <w:r w:rsidR="005B09A3" w:rsidRPr="006563D0">
        <w:rPr>
          <w:rFonts w:cs="Times New Roman"/>
          <w:szCs w:val="24"/>
        </w:rPr>
        <w:t xml:space="preserve">6 </w:t>
      </w:r>
      <w:r w:rsidRPr="006563D0">
        <w:rPr>
          <w:rFonts w:cs="Times New Roman"/>
          <w:szCs w:val="24"/>
        </w:rPr>
        <w:t>zawarto otwarty katalog elementów stosunków gospodarczych lub transakcji okazjonalnych, które powinny być wzięte pod uwagę w procesie rozpoznania oraz oceny ryzyka prania pieniędzy lub finansowania terroryzmu związanych z danymi stosunkami gospodarczymi lub transakcją okazjonalną.</w:t>
      </w:r>
    </w:p>
    <w:p w14:paraId="1C18A37E" w14:textId="408C509A" w:rsidR="001C7AB8" w:rsidRPr="006563D0" w:rsidRDefault="001C7AB8" w:rsidP="006563D0">
      <w:pPr>
        <w:spacing w:line="340" w:lineRule="atLeast"/>
        <w:rPr>
          <w:rFonts w:cs="Times New Roman"/>
          <w:szCs w:val="24"/>
        </w:rPr>
      </w:pPr>
      <w:r w:rsidRPr="006563D0">
        <w:rPr>
          <w:rFonts w:cs="Times New Roman"/>
          <w:szCs w:val="24"/>
        </w:rPr>
        <w:t xml:space="preserve">Art. </w:t>
      </w:r>
      <w:r w:rsidR="00850282">
        <w:rPr>
          <w:rFonts w:cs="Times New Roman"/>
          <w:szCs w:val="24"/>
        </w:rPr>
        <w:t>28</w:t>
      </w:r>
      <w:r w:rsidR="005B09A3" w:rsidRPr="006657A5">
        <w:rPr>
          <w:rFonts w:cs="Times New Roman"/>
          <w:szCs w:val="24"/>
        </w:rPr>
        <w:t xml:space="preserve"> </w:t>
      </w:r>
      <w:r w:rsidRPr="009F192D">
        <w:rPr>
          <w:rFonts w:cs="Times New Roman"/>
          <w:szCs w:val="24"/>
        </w:rPr>
        <w:t xml:space="preserve">ust. </w:t>
      </w:r>
      <w:r w:rsidR="005B09A3" w:rsidRPr="002E495D">
        <w:rPr>
          <w:rFonts w:cs="Times New Roman"/>
          <w:szCs w:val="24"/>
        </w:rPr>
        <w:t xml:space="preserve">7 </w:t>
      </w:r>
      <w:r w:rsidRPr="00257A48">
        <w:rPr>
          <w:rFonts w:cs="Times New Roman"/>
          <w:szCs w:val="24"/>
        </w:rPr>
        <w:t>nakłada na instytucje obowiązane obowiązek bieżącej analizy przeprowadzanych transakcji w celu wykrycia transakcji podejrzanych, tj. takich, których okoliczności mogą wskazywać na ich związek z przestępstwem prania pieniędzy lub finansowania terroryzmu ora</w:t>
      </w:r>
      <w:r w:rsidRPr="006563D0">
        <w:rPr>
          <w:rFonts w:cs="Times New Roman"/>
          <w:szCs w:val="24"/>
        </w:rPr>
        <w:t xml:space="preserve">z transakcji nietypowych. Obowiązek prowadzenia tego typu analiz ma swoje źródło w art. 15 ust. 3 i art. 18 ust. 2 Dyrektywy 2015/849. Wynikający z art. </w:t>
      </w:r>
      <w:r w:rsidR="00850282">
        <w:rPr>
          <w:rFonts w:cs="Times New Roman"/>
          <w:szCs w:val="24"/>
        </w:rPr>
        <w:t>28</w:t>
      </w:r>
      <w:r w:rsidR="005B09A3" w:rsidRPr="006657A5">
        <w:rPr>
          <w:rFonts w:cs="Times New Roman"/>
          <w:szCs w:val="24"/>
        </w:rPr>
        <w:t xml:space="preserve"> </w:t>
      </w:r>
      <w:r w:rsidRPr="009F192D">
        <w:rPr>
          <w:rFonts w:cs="Times New Roman"/>
          <w:szCs w:val="24"/>
        </w:rPr>
        <w:t xml:space="preserve">ust. </w:t>
      </w:r>
      <w:r w:rsidR="005B09A3" w:rsidRPr="002E495D">
        <w:rPr>
          <w:rFonts w:cs="Times New Roman"/>
          <w:szCs w:val="24"/>
        </w:rPr>
        <w:t xml:space="preserve">8 </w:t>
      </w:r>
      <w:r w:rsidRPr="00257A48">
        <w:rPr>
          <w:rFonts w:cs="Times New Roman"/>
          <w:szCs w:val="24"/>
        </w:rPr>
        <w:t>nakaz zintensyfikowania stosowania środka bezpieczeństwa finansowego polegającego na m</w:t>
      </w:r>
      <w:r w:rsidRPr="006563D0">
        <w:rPr>
          <w:rFonts w:cs="Times New Roman"/>
          <w:szCs w:val="24"/>
        </w:rPr>
        <w:t>onitorowaniu stosunków gospodarczych stanowi uzupełnienie, określonego w uprzednim ustępie</w:t>
      </w:r>
      <w:r w:rsidR="00BE0F53" w:rsidRPr="006563D0">
        <w:rPr>
          <w:rFonts w:cs="Times New Roman"/>
          <w:szCs w:val="24"/>
        </w:rPr>
        <w:t>,</w:t>
      </w:r>
      <w:r w:rsidRPr="006563D0">
        <w:rPr>
          <w:rFonts w:cs="Times New Roman"/>
          <w:szCs w:val="24"/>
        </w:rPr>
        <w:t xml:space="preserve"> obowiązku analizy transakcji. Przepis wprowadza do krajowego porządku prawnego zapisy art. 14 ust. 4 Dyrektywy 2015/849.   </w:t>
      </w:r>
    </w:p>
    <w:p w14:paraId="6CE84252" w14:textId="31F2940C" w:rsidR="001C7AB8" w:rsidRPr="002E495D" w:rsidRDefault="001C7AB8" w:rsidP="006563D0">
      <w:pPr>
        <w:spacing w:line="340" w:lineRule="atLeast"/>
        <w:rPr>
          <w:rFonts w:cs="Times New Roman"/>
          <w:szCs w:val="24"/>
        </w:rPr>
      </w:pPr>
      <w:r w:rsidRPr="006563D0">
        <w:rPr>
          <w:rFonts w:cs="Times New Roman"/>
          <w:szCs w:val="24"/>
        </w:rPr>
        <w:t xml:space="preserve">Art. </w:t>
      </w:r>
      <w:r w:rsidR="00850282">
        <w:rPr>
          <w:rFonts w:cs="Times New Roman"/>
          <w:szCs w:val="24"/>
        </w:rPr>
        <w:t>29</w:t>
      </w:r>
      <w:r w:rsidR="005B09A3" w:rsidRPr="006657A5">
        <w:rPr>
          <w:rFonts w:cs="Times New Roman"/>
          <w:szCs w:val="24"/>
        </w:rPr>
        <w:t xml:space="preserve"> </w:t>
      </w:r>
      <w:r w:rsidRPr="009F192D">
        <w:rPr>
          <w:rFonts w:cs="Times New Roman"/>
          <w:szCs w:val="24"/>
        </w:rPr>
        <w:t>ust. 1 zawiera katalog środków bezpieczeństwa finansowego. Zakres przedm</w:t>
      </w:r>
      <w:r w:rsidRPr="00207355">
        <w:rPr>
          <w:rFonts w:cs="Times New Roman"/>
          <w:szCs w:val="24"/>
        </w:rPr>
        <w:t xml:space="preserve">iotowy katalogu, co do zasady pokrywa się z tym zawartym w art. 8b ust. 3  ustawy </w:t>
      </w:r>
      <w:r w:rsidR="00850282" w:rsidRPr="00850282">
        <w:rPr>
          <w:rFonts w:cs="Times New Roman"/>
          <w:szCs w:val="24"/>
        </w:rPr>
        <w:t xml:space="preserve">o p.p.p.f.t. </w:t>
      </w:r>
      <w:r w:rsidRPr="009F192D">
        <w:rPr>
          <w:rFonts w:cs="Times New Roman"/>
          <w:szCs w:val="24"/>
        </w:rPr>
        <w:t>Zmieniona została redakcja przepisu określającego obowiązki instytucji obowiązane związane z identyfikacją beneficjenta rzecz</w:t>
      </w:r>
      <w:r w:rsidRPr="00207355">
        <w:rPr>
          <w:rFonts w:cs="Times New Roman"/>
          <w:szCs w:val="24"/>
        </w:rPr>
        <w:t xml:space="preserve">ywistego. W sposób jednoznaczny wskazano, że na </w:t>
      </w:r>
      <w:r w:rsidRPr="00207355">
        <w:rPr>
          <w:rFonts w:cs="Times New Roman"/>
          <w:szCs w:val="24"/>
        </w:rPr>
        <w:lastRenderedPageBreak/>
        <w:t xml:space="preserve">instytucji obowiązanej ciąży obowiązek identyfikacji beneficjenta rzeczywistego, a nie jedynie podjęcia działań w celu jego identyfikacji. </w:t>
      </w:r>
    </w:p>
    <w:p w14:paraId="254535AF" w14:textId="1700EBF5" w:rsidR="001C7AB8" w:rsidRPr="006563D0" w:rsidRDefault="001C7AB8" w:rsidP="006563D0">
      <w:pPr>
        <w:spacing w:line="340" w:lineRule="atLeast"/>
        <w:rPr>
          <w:rFonts w:cs="Times New Roman"/>
          <w:szCs w:val="24"/>
        </w:rPr>
      </w:pPr>
      <w:r w:rsidRPr="00257A48">
        <w:rPr>
          <w:rFonts w:cs="Times New Roman"/>
          <w:szCs w:val="24"/>
        </w:rPr>
        <w:t xml:space="preserve">W art. </w:t>
      </w:r>
      <w:r w:rsidR="00850282">
        <w:rPr>
          <w:rFonts w:cs="Times New Roman"/>
          <w:szCs w:val="24"/>
        </w:rPr>
        <w:t>29</w:t>
      </w:r>
      <w:r w:rsidR="005B09A3" w:rsidRPr="006657A5">
        <w:rPr>
          <w:rFonts w:cs="Times New Roman"/>
          <w:szCs w:val="24"/>
        </w:rPr>
        <w:t xml:space="preserve"> </w:t>
      </w:r>
      <w:r w:rsidRPr="009F192D">
        <w:rPr>
          <w:rFonts w:cs="Times New Roman"/>
          <w:szCs w:val="24"/>
        </w:rPr>
        <w:t xml:space="preserve">ust. 2 zawarto, wynikający z art. 13 ust. 1 zd. </w:t>
      </w:r>
      <w:r w:rsidR="005B09A3" w:rsidRPr="00207355">
        <w:rPr>
          <w:rFonts w:cs="Times New Roman"/>
          <w:szCs w:val="24"/>
        </w:rPr>
        <w:t>ostatnie</w:t>
      </w:r>
      <w:r w:rsidR="005B09A3" w:rsidRPr="002E495D">
        <w:rPr>
          <w:rFonts w:cs="Times New Roman"/>
          <w:szCs w:val="24"/>
        </w:rPr>
        <w:t xml:space="preserve"> </w:t>
      </w:r>
      <w:r w:rsidRPr="00257A48">
        <w:rPr>
          <w:rFonts w:cs="Times New Roman"/>
          <w:szCs w:val="24"/>
        </w:rPr>
        <w:t>Dyrektywy 2015/849 obowiązek podjęcia przez instytucje obowiązane działań obejmujących identyfikację i weryfikację tożsamości pełnomocnika klienta oraz jego umocowania do działania w imieniu klienta.</w:t>
      </w:r>
    </w:p>
    <w:p w14:paraId="6B2931A5" w14:textId="64EC3B02" w:rsidR="001C7AB8" w:rsidRPr="002E495D" w:rsidRDefault="001C7AB8" w:rsidP="006563D0">
      <w:pPr>
        <w:spacing w:line="340" w:lineRule="atLeast"/>
        <w:rPr>
          <w:rFonts w:cs="Times New Roman"/>
          <w:szCs w:val="24"/>
        </w:rPr>
      </w:pPr>
      <w:r w:rsidRPr="006563D0">
        <w:rPr>
          <w:rFonts w:cs="Times New Roman"/>
          <w:szCs w:val="24"/>
        </w:rPr>
        <w:t xml:space="preserve">Art. </w:t>
      </w:r>
      <w:r w:rsidR="00850282">
        <w:rPr>
          <w:rFonts w:cs="Times New Roman"/>
          <w:szCs w:val="24"/>
        </w:rPr>
        <w:t>29</w:t>
      </w:r>
      <w:r w:rsidR="005B09A3" w:rsidRPr="006657A5">
        <w:rPr>
          <w:rFonts w:cs="Times New Roman"/>
          <w:szCs w:val="24"/>
        </w:rPr>
        <w:t xml:space="preserve"> </w:t>
      </w:r>
      <w:r w:rsidRPr="009F192D">
        <w:rPr>
          <w:rFonts w:cs="Times New Roman"/>
          <w:szCs w:val="24"/>
        </w:rPr>
        <w:t>ust. 3 implementuje do przepisów ustawy wymóg wynikający z art. 13 ust. 4 Dyrektywy 2015/849 i wprowadza do przepisów ustawy obowiązek wykazania na żądanie właściwych organów wykazania z</w:t>
      </w:r>
      <w:r w:rsidRPr="00207355">
        <w:rPr>
          <w:rFonts w:cs="Times New Roman"/>
          <w:szCs w:val="24"/>
        </w:rPr>
        <w:t xml:space="preserve">astosowanych środków bezpieczeństwa finansowego. W celu umożliwienia właściwym organom realizacji ww. żądań wprost statuowano obowiązek instytucji obowiązanych do dokumentowania zastosowanych środków bezpieczeństwa finansowego. </w:t>
      </w:r>
    </w:p>
    <w:p w14:paraId="2A1028D6" w14:textId="5BAD9D29" w:rsidR="001C7AB8" w:rsidRPr="002E495D" w:rsidRDefault="001C7AB8" w:rsidP="006563D0">
      <w:pPr>
        <w:spacing w:line="340" w:lineRule="atLeast"/>
        <w:rPr>
          <w:rFonts w:cs="Times New Roman"/>
          <w:szCs w:val="24"/>
        </w:rPr>
      </w:pPr>
      <w:r w:rsidRPr="002E495D">
        <w:rPr>
          <w:rFonts w:cs="Times New Roman"/>
          <w:szCs w:val="24"/>
        </w:rPr>
        <w:t xml:space="preserve">W art. </w:t>
      </w:r>
      <w:r w:rsidR="006A5D54" w:rsidRPr="006563D0">
        <w:rPr>
          <w:rFonts w:cs="Times New Roman"/>
          <w:szCs w:val="24"/>
        </w:rPr>
        <w:t>3</w:t>
      </w:r>
      <w:r w:rsidR="00850282">
        <w:rPr>
          <w:rFonts w:cs="Times New Roman"/>
          <w:szCs w:val="24"/>
        </w:rPr>
        <w:t>0</w:t>
      </w:r>
      <w:r w:rsidR="006A5D54" w:rsidRPr="006657A5">
        <w:rPr>
          <w:rFonts w:cs="Times New Roman"/>
          <w:szCs w:val="24"/>
        </w:rPr>
        <w:t xml:space="preserve"> </w:t>
      </w:r>
      <w:r w:rsidRPr="009F192D">
        <w:rPr>
          <w:rFonts w:cs="Times New Roman"/>
          <w:szCs w:val="24"/>
        </w:rPr>
        <w:t>ust. 1 pkt 1,</w:t>
      </w:r>
      <w:r w:rsidRPr="00207355">
        <w:rPr>
          <w:rFonts w:cs="Times New Roman"/>
          <w:szCs w:val="24"/>
        </w:rPr>
        <w:t xml:space="preserve"> pkt 2 lit. a oraz pkt 3-4 określono podstawowe, adresowane do wszystkich instytucji obowiązanych zasady dotyczące momentu</w:t>
      </w:r>
      <w:r w:rsidRPr="00257A48">
        <w:rPr>
          <w:rFonts w:cs="Times New Roman"/>
          <w:szCs w:val="24"/>
        </w:rPr>
        <w:t xml:space="preserve">,  w którym środki bezpieczeństwa finansowego powinny być zastosowane. Art. </w:t>
      </w:r>
      <w:r w:rsidR="00EE1B88" w:rsidRPr="006563D0">
        <w:rPr>
          <w:rFonts w:cs="Times New Roman"/>
          <w:szCs w:val="24"/>
        </w:rPr>
        <w:t>3</w:t>
      </w:r>
      <w:r w:rsidR="001B74F7">
        <w:rPr>
          <w:rFonts w:cs="Times New Roman"/>
          <w:szCs w:val="24"/>
        </w:rPr>
        <w:t>0</w:t>
      </w:r>
      <w:r w:rsidR="00EE1B88" w:rsidRPr="006657A5">
        <w:rPr>
          <w:rFonts w:cs="Times New Roman"/>
          <w:szCs w:val="24"/>
        </w:rPr>
        <w:t xml:space="preserve"> </w:t>
      </w:r>
      <w:r w:rsidRPr="009F192D">
        <w:rPr>
          <w:rFonts w:cs="Times New Roman"/>
          <w:szCs w:val="24"/>
        </w:rPr>
        <w:t>ust. 1 pkt 1 lit. b adresowany jest do in</w:t>
      </w:r>
      <w:r w:rsidRPr="00207355">
        <w:rPr>
          <w:rFonts w:cs="Times New Roman"/>
          <w:szCs w:val="24"/>
        </w:rPr>
        <w:t xml:space="preserve">stytucji obowiązanych przeprowadzających w formie transakcji okazjonalnych transakcje transferów środków pieniężnych.  W ustawie </w:t>
      </w:r>
      <w:r w:rsidR="001B74F7" w:rsidRPr="001B74F7">
        <w:rPr>
          <w:rFonts w:cs="Times New Roman"/>
          <w:szCs w:val="24"/>
        </w:rPr>
        <w:t xml:space="preserve">o p.p.p.f.t. </w:t>
      </w:r>
      <w:r w:rsidRPr="009F192D">
        <w:rPr>
          <w:rFonts w:cs="Times New Roman"/>
          <w:szCs w:val="24"/>
        </w:rPr>
        <w:t xml:space="preserve">momentu </w:t>
      </w:r>
      <w:r w:rsidRPr="002E495D">
        <w:rPr>
          <w:rFonts w:cs="Times New Roman"/>
          <w:szCs w:val="24"/>
        </w:rPr>
        <w:t xml:space="preserve">stosowania środków bezpieczeństwa finansowego dotyczy art. 8b ust. 4. Art. </w:t>
      </w:r>
      <w:r w:rsidR="00EE1B88" w:rsidRPr="006563D0">
        <w:rPr>
          <w:rFonts w:cs="Times New Roman"/>
          <w:szCs w:val="24"/>
        </w:rPr>
        <w:t>3</w:t>
      </w:r>
      <w:r w:rsidR="001B74F7">
        <w:rPr>
          <w:rFonts w:cs="Times New Roman"/>
          <w:szCs w:val="24"/>
        </w:rPr>
        <w:t>0</w:t>
      </w:r>
      <w:r w:rsidR="00EE1B88" w:rsidRPr="006657A5">
        <w:rPr>
          <w:rFonts w:cs="Times New Roman"/>
          <w:szCs w:val="24"/>
        </w:rPr>
        <w:t xml:space="preserve"> </w:t>
      </w:r>
      <w:r w:rsidRPr="009F192D">
        <w:rPr>
          <w:rFonts w:cs="Times New Roman"/>
          <w:szCs w:val="24"/>
        </w:rPr>
        <w:t>transponuje do przepisów projektowanej ustawy zapisy art. 11 Dyrektywy 2015/849. W ust. 2 wprowadzono do projektu ustawy zapisy art. 14 ust. 5 Dyrektywy 2015/849, nakładający na instytucje obowiązane stosowania środków również w stosunku do obecnych klient</w:t>
      </w:r>
      <w:r w:rsidRPr="00207355">
        <w:rPr>
          <w:rFonts w:cs="Times New Roman"/>
          <w:szCs w:val="24"/>
        </w:rPr>
        <w:t>ów. Obowiązek ten realizowany powinien być w sposób periodyczny z uwzględnieniem stopnia rozpoznanego ryzyka prania pieniędzy i finansowania terroryzmu. Przesłankę do zastoso</w:t>
      </w:r>
      <w:r w:rsidRPr="002E495D">
        <w:rPr>
          <w:rFonts w:cs="Times New Roman"/>
          <w:szCs w:val="24"/>
        </w:rPr>
        <w:t xml:space="preserve">wania środków bezpieczeństwa w stosunku do klientów, z którymi nawiązano już stosunki bezpieczeństwa finansowego powinna stanowić w szczególności informacja o zmianie uprzednio uzyskanych danych dotyczących klienta. Art. </w:t>
      </w:r>
      <w:r w:rsidR="00EE1B88" w:rsidRPr="006563D0">
        <w:rPr>
          <w:rFonts w:cs="Times New Roman"/>
          <w:szCs w:val="24"/>
        </w:rPr>
        <w:t>3</w:t>
      </w:r>
      <w:r w:rsidR="001B74F7">
        <w:rPr>
          <w:rFonts w:cs="Times New Roman"/>
          <w:szCs w:val="24"/>
        </w:rPr>
        <w:t>0</w:t>
      </w:r>
      <w:r w:rsidR="00EE1B88" w:rsidRPr="006657A5">
        <w:rPr>
          <w:rFonts w:cs="Times New Roman"/>
          <w:szCs w:val="24"/>
        </w:rPr>
        <w:t xml:space="preserve"> </w:t>
      </w:r>
      <w:r w:rsidRPr="009F192D">
        <w:rPr>
          <w:rFonts w:cs="Times New Roman"/>
          <w:szCs w:val="24"/>
        </w:rPr>
        <w:t xml:space="preserve">ust. 3 zawiera regulację adresowana do instytucji obowiązanych określonych w art. </w:t>
      </w:r>
      <w:r w:rsidR="00EE1B88" w:rsidRPr="002E495D">
        <w:rPr>
          <w:rFonts w:cs="Times New Roman"/>
          <w:szCs w:val="24"/>
        </w:rPr>
        <w:t xml:space="preserve">2 ust. 1 pkt 24 </w:t>
      </w:r>
      <w:r w:rsidRPr="005942A4">
        <w:rPr>
          <w:rFonts w:cs="Times New Roman"/>
          <w:szCs w:val="24"/>
        </w:rPr>
        <w:t>projektu, tj. przedsiębiorców przyjmują</w:t>
      </w:r>
      <w:r w:rsidRPr="006657A5">
        <w:rPr>
          <w:rFonts w:cs="Times New Roman"/>
          <w:szCs w:val="24"/>
        </w:rPr>
        <w:t xml:space="preserve">cych i dokonujących </w:t>
      </w:r>
      <w:r w:rsidR="00EE1B88" w:rsidRPr="009F192D">
        <w:rPr>
          <w:rFonts w:cs="Times New Roman"/>
          <w:szCs w:val="24"/>
        </w:rPr>
        <w:t>płatności za towary w gotówce</w:t>
      </w:r>
      <w:r w:rsidRPr="002E495D">
        <w:rPr>
          <w:rFonts w:cs="Times New Roman"/>
          <w:szCs w:val="24"/>
        </w:rPr>
        <w:t>. Przeprowadzenie przez te instytucje obow</w:t>
      </w:r>
      <w:r w:rsidRPr="00257A48">
        <w:rPr>
          <w:rFonts w:cs="Times New Roman"/>
          <w:szCs w:val="24"/>
        </w:rPr>
        <w:t xml:space="preserve">iązane transakcji gotówkowej o równowartości 10.000 EUR skutkuje koniecznością zastosowania środków bezpieczeństwa finansowego. Art. </w:t>
      </w:r>
      <w:r w:rsidR="00EE1B88" w:rsidRPr="006563D0">
        <w:rPr>
          <w:rFonts w:cs="Times New Roman"/>
          <w:szCs w:val="24"/>
        </w:rPr>
        <w:t>3</w:t>
      </w:r>
      <w:r w:rsidR="001B74F7">
        <w:rPr>
          <w:rFonts w:cs="Times New Roman"/>
          <w:szCs w:val="24"/>
        </w:rPr>
        <w:t>0</w:t>
      </w:r>
      <w:r w:rsidR="00EE1B88" w:rsidRPr="006657A5">
        <w:rPr>
          <w:rFonts w:cs="Times New Roman"/>
          <w:szCs w:val="24"/>
        </w:rPr>
        <w:t xml:space="preserve"> </w:t>
      </w:r>
      <w:r w:rsidRPr="009F192D">
        <w:rPr>
          <w:rFonts w:cs="Times New Roman"/>
          <w:szCs w:val="24"/>
        </w:rPr>
        <w:t>ust. 4 zawiera specyficzną regulację adresowaną do instytucji obowiązanych</w:t>
      </w:r>
      <w:r w:rsidRPr="00207355">
        <w:rPr>
          <w:rFonts w:cs="Times New Roman"/>
          <w:szCs w:val="24"/>
        </w:rPr>
        <w:t xml:space="preserve"> z sektora gier hazardowych.</w:t>
      </w:r>
    </w:p>
    <w:p w14:paraId="6CC28405" w14:textId="4F175A91" w:rsidR="001C7AB8" w:rsidRPr="00207355" w:rsidRDefault="001C7AB8" w:rsidP="006563D0">
      <w:pPr>
        <w:spacing w:line="340" w:lineRule="atLeast"/>
        <w:rPr>
          <w:rFonts w:cs="Times New Roman"/>
          <w:szCs w:val="24"/>
        </w:rPr>
      </w:pPr>
      <w:r w:rsidRPr="00257A48">
        <w:rPr>
          <w:rFonts w:cs="Times New Roman"/>
          <w:szCs w:val="24"/>
        </w:rPr>
        <w:t xml:space="preserve">Art. </w:t>
      </w:r>
      <w:r w:rsidR="00EE1B88" w:rsidRPr="006563D0">
        <w:rPr>
          <w:rFonts w:cs="Times New Roman"/>
          <w:szCs w:val="24"/>
        </w:rPr>
        <w:t>3</w:t>
      </w:r>
      <w:r w:rsidR="00880FB6">
        <w:rPr>
          <w:rFonts w:cs="Times New Roman"/>
          <w:szCs w:val="24"/>
        </w:rPr>
        <w:t>1</w:t>
      </w:r>
      <w:r w:rsidR="00EE1B88" w:rsidRPr="006657A5">
        <w:rPr>
          <w:rFonts w:cs="Times New Roman"/>
          <w:szCs w:val="24"/>
        </w:rPr>
        <w:t xml:space="preserve"> </w:t>
      </w:r>
      <w:r w:rsidRPr="009F192D">
        <w:rPr>
          <w:rFonts w:cs="Times New Roman"/>
          <w:szCs w:val="24"/>
        </w:rPr>
        <w:t>ust. 1 wprowadza do projektu ustawy wyrażoną w art. 14 ust. 1 Dyrektywy 2015/849 zasadę, zgodnie z którą środki bezpieczeństwa finansowego powinny zostać zastosowane przed nawiązaniem stosunków gospodarczych lub prz</w:t>
      </w:r>
      <w:r w:rsidRPr="00207355">
        <w:rPr>
          <w:rFonts w:cs="Times New Roman"/>
          <w:szCs w:val="24"/>
        </w:rPr>
        <w:t xml:space="preserve">eprowadzeniem transakcji okazjonalnej. W </w:t>
      </w:r>
      <w:r w:rsidRPr="002E495D">
        <w:rPr>
          <w:rFonts w:cs="Times New Roman"/>
          <w:szCs w:val="24"/>
        </w:rPr>
        <w:t xml:space="preserve">kolejnych ustępach art. </w:t>
      </w:r>
      <w:r w:rsidR="00EE1B88" w:rsidRPr="006563D0">
        <w:rPr>
          <w:rFonts w:cs="Times New Roman"/>
          <w:szCs w:val="24"/>
        </w:rPr>
        <w:t>3</w:t>
      </w:r>
      <w:r w:rsidR="00880FB6">
        <w:rPr>
          <w:rFonts w:cs="Times New Roman"/>
          <w:szCs w:val="24"/>
        </w:rPr>
        <w:t>1</w:t>
      </w:r>
      <w:r w:rsidRPr="006657A5">
        <w:rPr>
          <w:rFonts w:cs="Times New Roman"/>
          <w:szCs w:val="24"/>
        </w:rPr>
        <w:t xml:space="preserve">, określono wyjątki od zasady wyrażonej w ust. 1, zgodnie z którymi w określonych przypadkach możliwe jest zastosowanie niektórych środków bezpieczeństwa finansowego w czasie lub już po </w:t>
      </w:r>
      <w:r w:rsidRPr="009F192D">
        <w:rPr>
          <w:rFonts w:cs="Times New Roman"/>
          <w:szCs w:val="24"/>
        </w:rPr>
        <w:t xml:space="preserve">nawiązaniu stosunków gospodarczych lub przeprowadzeniu transakcji okazjonalnej, przy jednoczesnym ograniczeniu ryzyka prania pieniędzy lub finansowania terroryzmu. </w:t>
      </w:r>
    </w:p>
    <w:p w14:paraId="74E81EED" w14:textId="16223F9C" w:rsidR="001C7AB8" w:rsidRPr="006563D0" w:rsidRDefault="001C7AB8" w:rsidP="006563D0">
      <w:pPr>
        <w:spacing w:line="340" w:lineRule="atLeast"/>
        <w:rPr>
          <w:rFonts w:cs="Times New Roman"/>
          <w:szCs w:val="24"/>
        </w:rPr>
      </w:pPr>
      <w:r w:rsidRPr="002E495D">
        <w:rPr>
          <w:rFonts w:cs="Times New Roman"/>
          <w:szCs w:val="24"/>
        </w:rPr>
        <w:lastRenderedPageBreak/>
        <w:t xml:space="preserve">W art. </w:t>
      </w:r>
      <w:r w:rsidR="00EE1B88" w:rsidRPr="006563D0">
        <w:rPr>
          <w:rFonts w:cs="Times New Roman"/>
          <w:szCs w:val="24"/>
        </w:rPr>
        <w:t>3</w:t>
      </w:r>
      <w:r w:rsidR="00880FB6">
        <w:rPr>
          <w:rFonts w:cs="Times New Roman"/>
          <w:szCs w:val="24"/>
        </w:rPr>
        <w:t>2</w:t>
      </w:r>
      <w:r w:rsidR="00EE1B88" w:rsidRPr="006657A5">
        <w:rPr>
          <w:rFonts w:cs="Times New Roman"/>
          <w:szCs w:val="24"/>
        </w:rPr>
        <w:t xml:space="preserve"> </w:t>
      </w:r>
      <w:r w:rsidRPr="009F192D">
        <w:rPr>
          <w:rFonts w:cs="Times New Roman"/>
          <w:szCs w:val="24"/>
        </w:rPr>
        <w:t>zawarto minimalne wymogi w zakresie stosowania środka bezpieczeństwa finansowego polegającego na identyfikacji klienta oraz beneficjenta rzeczywistego. Wskazano minimalny zakres danych, który instytucja obowiązana winna ustalić w celu zapewnienia, że w spo</w:t>
      </w:r>
      <w:r w:rsidRPr="00207355">
        <w:rPr>
          <w:rFonts w:cs="Times New Roman"/>
          <w:szCs w:val="24"/>
        </w:rPr>
        <w:t>sób dostateczny zidentyfikowała klienta. Zakres danych beneficjentów rzeczywistych gromadzonych obowiązkowo został ogr</w:t>
      </w:r>
      <w:r w:rsidRPr="002E495D">
        <w:rPr>
          <w:rFonts w:cs="Times New Roman"/>
          <w:szCs w:val="24"/>
        </w:rPr>
        <w:t>aniczony ze względu na fakt, że w znaczącej liczbie przypadków instytucje obowiązane nie mają bezpośredniego kontaktu z beneficjentem rzeczywistym klienta i nie są w stanie uzyskać takich samych dokumentów dotyczących tożsamości beneficjenta rzeczywistego,</w:t>
      </w:r>
      <w:r w:rsidRPr="00257A48">
        <w:rPr>
          <w:rFonts w:cs="Times New Roman"/>
          <w:szCs w:val="24"/>
        </w:rPr>
        <w:t xml:space="preserve"> jakie mogą uzyskać w odniesieniu do tożsamości klienta. </w:t>
      </w:r>
    </w:p>
    <w:p w14:paraId="38BEA8D8" w14:textId="097B2558" w:rsidR="001C7AB8" w:rsidRPr="006657A5" w:rsidRDefault="001C7AB8" w:rsidP="006563D0">
      <w:pPr>
        <w:spacing w:line="340" w:lineRule="atLeast"/>
        <w:rPr>
          <w:rFonts w:cs="Times New Roman"/>
          <w:szCs w:val="24"/>
        </w:rPr>
      </w:pPr>
      <w:r w:rsidRPr="006563D0">
        <w:rPr>
          <w:rFonts w:cs="Times New Roman"/>
          <w:szCs w:val="24"/>
        </w:rPr>
        <w:t xml:space="preserve">W art. </w:t>
      </w:r>
      <w:r w:rsidR="00257261" w:rsidRPr="006563D0">
        <w:rPr>
          <w:rFonts w:cs="Times New Roman"/>
          <w:szCs w:val="24"/>
        </w:rPr>
        <w:t>3</w:t>
      </w:r>
      <w:r w:rsidR="00880FB6">
        <w:rPr>
          <w:rFonts w:cs="Times New Roman"/>
          <w:szCs w:val="24"/>
        </w:rPr>
        <w:t>3</w:t>
      </w:r>
      <w:r w:rsidR="00257261" w:rsidRPr="006657A5">
        <w:rPr>
          <w:rFonts w:cs="Times New Roman"/>
          <w:szCs w:val="24"/>
        </w:rPr>
        <w:t xml:space="preserve"> </w:t>
      </w:r>
      <w:r w:rsidRPr="009F192D">
        <w:rPr>
          <w:rFonts w:cs="Times New Roman"/>
          <w:szCs w:val="24"/>
        </w:rPr>
        <w:t>określono dokumenty cechujące się odpowiednim walorem wiarygodnośc</w:t>
      </w:r>
      <w:r w:rsidRPr="00207355">
        <w:rPr>
          <w:rFonts w:cs="Times New Roman"/>
          <w:szCs w:val="24"/>
        </w:rPr>
        <w:t xml:space="preserve">i w oparciu,  o które powinna nastąpić weryfikacja danych identyfikacyjnych klienta. W stosunku do osób fizycznych </w:t>
      </w:r>
      <w:r w:rsidRPr="002E495D">
        <w:rPr>
          <w:rFonts w:cs="Times New Roman"/>
          <w:szCs w:val="24"/>
        </w:rPr>
        <w:t>weryfikacja powinna zostać przeprowadzona w oparciu o dokument stwierdzający na podstawie odrębnych przepisów tożsamość osoby fizycznej. W stosunku do osób prawnych lub jednostek organizacyjnych bez osobowości prawnej weryfikacja powinna zostać przeprowadzona w oparciu o dokument zawierający aktualne dane z wyciągu z rejestru sądowego lub w oparciu o inne dokumenty, dane lub informacje pochodzące z wiarygodnego i niezależnego źródła. Obecnie wymagania dotyczące weryfikacji tożsamości klienta zawarte są w ar</w:t>
      </w:r>
      <w:r w:rsidRPr="00257A48">
        <w:rPr>
          <w:rFonts w:cs="Times New Roman"/>
          <w:szCs w:val="24"/>
        </w:rPr>
        <w:t>t. 9a ustawy</w:t>
      </w:r>
      <w:r w:rsidR="00257261" w:rsidRPr="006563D0">
        <w:rPr>
          <w:rFonts w:cs="Times New Roman"/>
          <w:szCs w:val="24"/>
        </w:rPr>
        <w:t xml:space="preserve"> </w:t>
      </w:r>
      <w:r w:rsidR="00880FB6" w:rsidRPr="00880FB6">
        <w:rPr>
          <w:rFonts w:cs="Times New Roman"/>
          <w:szCs w:val="24"/>
        </w:rPr>
        <w:t>p.p.p.f.t</w:t>
      </w:r>
      <w:r w:rsidRPr="006657A5">
        <w:rPr>
          <w:rFonts w:cs="Times New Roman"/>
          <w:szCs w:val="24"/>
        </w:rPr>
        <w:t xml:space="preserve">.  </w:t>
      </w:r>
    </w:p>
    <w:p w14:paraId="5528EF8E" w14:textId="7D4CFD5B" w:rsidR="001C7AB8" w:rsidRPr="006563D0" w:rsidRDefault="001C7AB8" w:rsidP="006563D0">
      <w:pPr>
        <w:spacing w:line="340" w:lineRule="atLeast"/>
        <w:rPr>
          <w:rFonts w:cs="Times New Roman"/>
          <w:szCs w:val="24"/>
        </w:rPr>
      </w:pPr>
      <w:r w:rsidRPr="009F192D">
        <w:rPr>
          <w:rFonts w:cs="Times New Roman"/>
          <w:szCs w:val="24"/>
        </w:rPr>
        <w:t xml:space="preserve">Art. </w:t>
      </w:r>
      <w:r w:rsidR="00257261" w:rsidRPr="002E495D">
        <w:rPr>
          <w:rFonts w:cs="Times New Roman"/>
          <w:szCs w:val="24"/>
        </w:rPr>
        <w:t>3</w:t>
      </w:r>
      <w:r w:rsidR="006B6B81">
        <w:rPr>
          <w:rFonts w:cs="Times New Roman"/>
          <w:szCs w:val="24"/>
        </w:rPr>
        <w:t>4</w:t>
      </w:r>
      <w:r w:rsidR="00257261" w:rsidRPr="006657A5">
        <w:rPr>
          <w:rFonts w:cs="Times New Roman"/>
          <w:szCs w:val="24"/>
        </w:rPr>
        <w:t xml:space="preserve"> </w:t>
      </w:r>
      <w:r w:rsidRPr="006657A5">
        <w:rPr>
          <w:rFonts w:cs="Times New Roman"/>
          <w:szCs w:val="24"/>
        </w:rPr>
        <w:t xml:space="preserve">implementuje do projektu ustawy zapisy art. 13 ust. 5 i 6 Dyrektywy 2015/849 </w:t>
      </w:r>
      <w:r w:rsidRPr="009F192D">
        <w:rPr>
          <w:rFonts w:cs="Times New Roman"/>
          <w:szCs w:val="24"/>
        </w:rPr>
        <w:t>i wprowadza wyjątek od ogólnej zasady, że środki bezpieczeństwa finansowego stosowane są wobec klienta. Wyjątek ten znajduje zastosowanie w działalności instytucji obowiązanych zawierających umowy ubezpieczenia na życie lub umowy ubezpieczenia o charakterz</w:t>
      </w:r>
      <w:r w:rsidRPr="00207355">
        <w:rPr>
          <w:rFonts w:cs="Times New Roman"/>
          <w:szCs w:val="24"/>
        </w:rPr>
        <w:t xml:space="preserve">e inwestycyjnym. Ze względu na specyfikę ww. umów ubezpieczenia, możliwość zawierania tego typu umów na rzecz osób </w:t>
      </w:r>
      <w:r w:rsidRPr="002E495D">
        <w:rPr>
          <w:rFonts w:cs="Times New Roman"/>
          <w:szCs w:val="24"/>
        </w:rPr>
        <w:t>trzecich oraz przenoszenia prawa z tytułu tych umów wprowadza się wymóg zastosowania środków bezpieczeństwa finansowego polegających na identyfikacji i weryfikacji tożsamości uprawnionych z tytułu tych umów. Ponadto, w przypadku powzięcia informacji o prze</w:t>
      </w:r>
      <w:r w:rsidRPr="00257A48">
        <w:rPr>
          <w:rFonts w:cs="Times New Roman"/>
          <w:szCs w:val="24"/>
        </w:rPr>
        <w:t>niesieniu praw z tytułu umowy ubezpieczenia na życie lub umowy ubezpieczenia o charakterze inwestycyjnym</w:t>
      </w:r>
      <w:r w:rsidR="00BE0F53" w:rsidRPr="006563D0">
        <w:rPr>
          <w:rFonts w:cs="Times New Roman"/>
          <w:szCs w:val="24"/>
        </w:rPr>
        <w:t>,</w:t>
      </w:r>
      <w:r w:rsidRPr="006563D0">
        <w:rPr>
          <w:rFonts w:cs="Times New Roman"/>
          <w:szCs w:val="24"/>
        </w:rPr>
        <w:t xml:space="preserve"> instytucja obowiązana zawierająca tego typu umowy powinna zidentyfikować beneficjenta rzeczywistego podmiotu</w:t>
      </w:r>
      <w:r w:rsidR="00BE0F53" w:rsidRPr="006563D0">
        <w:rPr>
          <w:rFonts w:cs="Times New Roman"/>
          <w:szCs w:val="24"/>
        </w:rPr>
        <w:t>,</w:t>
      </w:r>
      <w:r w:rsidRPr="006563D0">
        <w:rPr>
          <w:rFonts w:cs="Times New Roman"/>
          <w:szCs w:val="24"/>
        </w:rPr>
        <w:t xml:space="preserve"> na rzecz którego przeniesione zostały te prawa. W ust. 3 zawarto analogiczne wymogi w odniesieniu do trustów lub innych podobnych konstrukcji powierniczych.</w:t>
      </w:r>
    </w:p>
    <w:p w14:paraId="711647B4" w14:textId="3C2222F9" w:rsidR="001C7AB8" w:rsidRPr="005942A4" w:rsidRDefault="001C7AB8" w:rsidP="006563D0">
      <w:pPr>
        <w:spacing w:line="340" w:lineRule="atLeast"/>
        <w:rPr>
          <w:rFonts w:cs="Times New Roman"/>
          <w:szCs w:val="24"/>
        </w:rPr>
      </w:pPr>
      <w:r w:rsidRPr="006563D0">
        <w:rPr>
          <w:rFonts w:cs="Times New Roman"/>
          <w:szCs w:val="24"/>
        </w:rPr>
        <w:t xml:space="preserve">W art. </w:t>
      </w:r>
      <w:r w:rsidR="000733EF" w:rsidRPr="006563D0">
        <w:rPr>
          <w:rFonts w:cs="Times New Roman"/>
          <w:szCs w:val="24"/>
        </w:rPr>
        <w:t>3</w:t>
      </w:r>
      <w:r w:rsidR="006B6B81">
        <w:rPr>
          <w:rFonts w:cs="Times New Roman"/>
          <w:szCs w:val="24"/>
        </w:rPr>
        <w:t>5</w:t>
      </w:r>
      <w:r w:rsidR="000733EF" w:rsidRPr="006657A5">
        <w:rPr>
          <w:rFonts w:cs="Times New Roman"/>
          <w:szCs w:val="24"/>
        </w:rPr>
        <w:t xml:space="preserve"> </w:t>
      </w:r>
      <w:r w:rsidRPr="006657A5">
        <w:rPr>
          <w:rFonts w:cs="Times New Roman"/>
          <w:szCs w:val="24"/>
        </w:rPr>
        <w:t>wprowadzono do projektu ustawy uregulowania zawarte w art. 14 ust. 4 Dyrektywy</w:t>
      </w:r>
      <w:r w:rsidRPr="009F192D">
        <w:rPr>
          <w:rFonts w:cs="Times New Roman"/>
          <w:szCs w:val="24"/>
        </w:rPr>
        <w:t xml:space="preserve"> 2015/849</w:t>
      </w:r>
      <w:r w:rsidRPr="00207355">
        <w:rPr>
          <w:rFonts w:cs="Times New Roman"/>
          <w:szCs w:val="24"/>
        </w:rPr>
        <w:t xml:space="preserve">. </w:t>
      </w:r>
      <w:r w:rsidR="006B6B81">
        <w:rPr>
          <w:rFonts w:cs="Times New Roman"/>
          <w:szCs w:val="24"/>
        </w:rPr>
        <w:t xml:space="preserve"> </w:t>
      </w:r>
      <w:r w:rsidRPr="005942A4">
        <w:rPr>
          <w:rFonts w:cs="Times New Roman"/>
          <w:szCs w:val="24"/>
        </w:rPr>
        <w:t xml:space="preserve">Przepis stanowi odpowiednik art. 8b ust. 5 ustawy </w:t>
      </w:r>
      <w:r w:rsidR="006B6B81" w:rsidRPr="006B6B81">
        <w:rPr>
          <w:rFonts w:cs="Times New Roman"/>
          <w:szCs w:val="24"/>
        </w:rPr>
        <w:t xml:space="preserve">p.p.p.f.t. </w:t>
      </w:r>
      <w:r w:rsidR="006B6B81">
        <w:rPr>
          <w:rFonts w:cs="Times New Roman"/>
          <w:szCs w:val="24"/>
        </w:rPr>
        <w:t xml:space="preserve"> </w:t>
      </w:r>
      <w:r w:rsidRPr="006657A5">
        <w:rPr>
          <w:rFonts w:cs="Times New Roman"/>
          <w:szCs w:val="24"/>
        </w:rPr>
        <w:t>Zgodnie z art. 3</w:t>
      </w:r>
      <w:r w:rsidR="006B6B81">
        <w:rPr>
          <w:rFonts w:cs="Times New Roman"/>
          <w:szCs w:val="24"/>
        </w:rPr>
        <w:t>5</w:t>
      </w:r>
      <w:r w:rsidRPr="006657A5">
        <w:rPr>
          <w:rFonts w:cs="Times New Roman"/>
          <w:szCs w:val="24"/>
        </w:rPr>
        <w:t xml:space="preserve"> ust. 1 instytucja obowiązana, która nie jest w stanie zastosować określonych środków bezpieczeństwa finansowego</w:t>
      </w:r>
      <w:r w:rsidR="000733EF" w:rsidRPr="009F192D">
        <w:rPr>
          <w:rFonts w:cs="Times New Roman"/>
          <w:szCs w:val="24"/>
        </w:rPr>
        <w:t>,</w:t>
      </w:r>
      <w:r w:rsidRPr="00207355">
        <w:rPr>
          <w:rFonts w:cs="Times New Roman"/>
          <w:szCs w:val="24"/>
        </w:rPr>
        <w:t xml:space="preserve"> nie nawiązuje stosunków gospodarczych, nie przeprowadza transakcji okazjonalnej, nie przeprowadza transakcji za pośrednictwem rachunku bankowego lub rozwiązuje stosunki gospodarcze. Jednocześnie, w takiej sytuacji instytucja obowiązana powinna ocenić, czy</w:t>
      </w:r>
      <w:r w:rsidRPr="002E495D">
        <w:rPr>
          <w:rFonts w:cs="Times New Roman"/>
          <w:szCs w:val="24"/>
        </w:rPr>
        <w:t xml:space="preserve"> okoliczności sytuacji, w której brak jest możliwości zas</w:t>
      </w:r>
      <w:r w:rsidRPr="00257A48">
        <w:rPr>
          <w:rFonts w:cs="Times New Roman"/>
          <w:szCs w:val="24"/>
        </w:rPr>
        <w:t>tosowania środków bezpieczeństwa finansowego</w:t>
      </w:r>
      <w:r w:rsidR="00BE0F53" w:rsidRPr="006563D0">
        <w:rPr>
          <w:rFonts w:cs="Times New Roman"/>
          <w:szCs w:val="24"/>
        </w:rPr>
        <w:t>,</w:t>
      </w:r>
      <w:r w:rsidRPr="006563D0">
        <w:rPr>
          <w:rFonts w:cs="Times New Roman"/>
          <w:szCs w:val="24"/>
        </w:rPr>
        <w:t xml:space="preserve"> dostarcza wystarczających przesłanek do uznania, że doszło do wykorzystania lub próby wykorzystania działalności instytucji obowiązanej dla </w:t>
      </w:r>
      <w:r w:rsidRPr="006563D0">
        <w:rPr>
          <w:rFonts w:cs="Times New Roman"/>
          <w:szCs w:val="24"/>
        </w:rPr>
        <w:lastRenderedPageBreak/>
        <w:t xml:space="preserve">celów mających związek z popełnieniem przestępstwa prania pieniędzy lub finansowania terroryzmu. </w:t>
      </w:r>
    </w:p>
    <w:p w14:paraId="1A5A517E" w14:textId="7D97DA7C" w:rsidR="001C7AB8" w:rsidRPr="005942A4" w:rsidRDefault="001C7AB8" w:rsidP="006563D0">
      <w:pPr>
        <w:spacing w:line="340" w:lineRule="atLeast"/>
        <w:rPr>
          <w:rFonts w:cs="Times New Roman"/>
          <w:szCs w:val="24"/>
        </w:rPr>
      </w:pPr>
      <w:r w:rsidRPr="006657A5">
        <w:rPr>
          <w:rFonts w:cs="Times New Roman"/>
          <w:szCs w:val="24"/>
        </w:rPr>
        <w:t xml:space="preserve">Art. </w:t>
      </w:r>
      <w:r w:rsidR="000733EF" w:rsidRPr="00207355">
        <w:rPr>
          <w:rFonts w:cs="Times New Roman"/>
          <w:szCs w:val="24"/>
        </w:rPr>
        <w:t>3</w:t>
      </w:r>
      <w:r w:rsidR="006B6B81">
        <w:rPr>
          <w:rFonts w:cs="Times New Roman"/>
          <w:szCs w:val="24"/>
        </w:rPr>
        <w:t>6</w:t>
      </w:r>
      <w:r w:rsidR="000733EF" w:rsidRPr="006657A5">
        <w:rPr>
          <w:rFonts w:cs="Times New Roman"/>
          <w:szCs w:val="24"/>
        </w:rPr>
        <w:t xml:space="preserve"> </w:t>
      </w:r>
      <w:r w:rsidRPr="009F192D">
        <w:rPr>
          <w:rFonts w:cs="Times New Roman"/>
          <w:szCs w:val="24"/>
        </w:rPr>
        <w:t>implementuje do projektu ustawy przepisy art. 15 i 16 Dyrektywy 2015/849 dotyczące uproszczonych środków bezpieczeństwa finansowego. Zgodnie z art. 15 ust. 1 Dyrektywy 2015/849 państwa członkowskie mogą zezwolić na stosowanie uproszcz</w:t>
      </w:r>
      <w:r w:rsidRPr="00207355">
        <w:rPr>
          <w:rFonts w:cs="Times New Roman"/>
          <w:szCs w:val="24"/>
        </w:rPr>
        <w:t>onych środków bezpieczeństwa finansowego w określonych sytuacjach, które co do zasady wiążą się z niższym</w:t>
      </w:r>
      <w:r w:rsidRPr="002E495D">
        <w:rPr>
          <w:rFonts w:cs="Times New Roman"/>
          <w:szCs w:val="24"/>
        </w:rPr>
        <w:t xml:space="preserve"> ryzykiem prania pieniędzy lub finansowania terroryzmu. Katalog p</w:t>
      </w:r>
      <w:r w:rsidRPr="00257A48">
        <w:rPr>
          <w:rFonts w:cs="Times New Roman"/>
          <w:szCs w:val="24"/>
        </w:rPr>
        <w:t>rzypadków, w których można uznać, że stosunki gospodarcze lub transakcja okazjonalna n</w:t>
      </w:r>
      <w:r w:rsidRPr="006563D0">
        <w:rPr>
          <w:rFonts w:cs="Times New Roman"/>
          <w:szCs w:val="24"/>
        </w:rPr>
        <w:t>iosą ze sobą niskie ryzyko prania pieniędzy lub finansowania terroryzmu</w:t>
      </w:r>
      <w:r w:rsidR="00BE0F53" w:rsidRPr="006563D0">
        <w:rPr>
          <w:rFonts w:cs="Times New Roman"/>
          <w:szCs w:val="24"/>
        </w:rPr>
        <w:t>,</w:t>
      </w:r>
      <w:r w:rsidRPr="006563D0">
        <w:rPr>
          <w:rFonts w:cs="Times New Roman"/>
          <w:szCs w:val="24"/>
        </w:rPr>
        <w:t xml:space="preserve"> zawarto w ust. </w:t>
      </w:r>
      <w:r w:rsidR="000733EF" w:rsidRPr="006563D0">
        <w:rPr>
          <w:rFonts w:cs="Times New Roman"/>
          <w:szCs w:val="24"/>
        </w:rPr>
        <w:t>3</w:t>
      </w:r>
      <w:r w:rsidRPr="006563D0">
        <w:rPr>
          <w:rFonts w:cs="Times New Roman"/>
          <w:szCs w:val="24"/>
        </w:rPr>
        <w:t xml:space="preserve">. Jednakże, inne zmienne elementy ryzyka współwystępujące w związku z danymi stosunkami gospodarczymi lub transakcją okazjonalną mogą powodować, że pomimo faktu, iż dany przypadek objęty będzie katalogiem, o którym mowa w ust. </w:t>
      </w:r>
      <w:r w:rsidR="000733EF" w:rsidRPr="006563D0">
        <w:rPr>
          <w:rFonts w:cs="Times New Roman"/>
          <w:szCs w:val="24"/>
        </w:rPr>
        <w:t>3</w:t>
      </w:r>
      <w:r w:rsidR="00BE0F53" w:rsidRPr="006563D0">
        <w:rPr>
          <w:rFonts w:cs="Times New Roman"/>
          <w:szCs w:val="24"/>
        </w:rPr>
        <w:t>,</w:t>
      </w:r>
      <w:r w:rsidRPr="006563D0">
        <w:rPr>
          <w:rFonts w:cs="Times New Roman"/>
          <w:szCs w:val="24"/>
        </w:rPr>
        <w:t xml:space="preserve"> ryzyko prania pieniędzy lub finansowania terroryzmu nie będzie mogło być uznane za niskie. Z tego względu instytucje obowiązane powinny przed zastosowaniem uproszczonych środków bezpieczeństwa finansowego upewnić się, że dane stosunki gospodarcze lub transakcji okazjonalna rzeczywiście charakteryzują się  niskim ryzykiem prania pieniędzy lub finansowania terroryzmu. </w:t>
      </w:r>
    </w:p>
    <w:p w14:paraId="75A3090E" w14:textId="53FE4711" w:rsidR="001C7AB8" w:rsidRPr="002E495D" w:rsidRDefault="001C7AB8" w:rsidP="006563D0">
      <w:pPr>
        <w:spacing w:line="340" w:lineRule="atLeast"/>
        <w:rPr>
          <w:rFonts w:cs="Times New Roman"/>
          <w:szCs w:val="24"/>
        </w:rPr>
      </w:pPr>
      <w:r w:rsidRPr="006657A5">
        <w:rPr>
          <w:rFonts w:cs="Times New Roman"/>
          <w:szCs w:val="24"/>
        </w:rPr>
        <w:t xml:space="preserve">Art. </w:t>
      </w:r>
      <w:r w:rsidR="00342CE8" w:rsidRPr="00207355">
        <w:rPr>
          <w:rFonts w:cs="Times New Roman"/>
          <w:szCs w:val="24"/>
        </w:rPr>
        <w:t>3</w:t>
      </w:r>
      <w:r w:rsidR="006B6B81">
        <w:rPr>
          <w:rFonts w:cs="Times New Roman"/>
          <w:szCs w:val="24"/>
        </w:rPr>
        <w:t>7</w:t>
      </w:r>
      <w:r w:rsidR="00342CE8" w:rsidRPr="006657A5">
        <w:rPr>
          <w:rFonts w:cs="Times New Roman"/>
          <w:szCs w:val="24"/>
        </w:rPr>
        <w:t xml:space="preserve"> </w:t>
      </w:r>
      <w:r w:rsidRPr="009F192D">
        <w:rPr>
          <w:rFonts w:cs="Times New Roman"/>
          <w:szCs w:val="24"/>
        </w:rPr>
        <w:t xml:space="preserve">jest pierwszym z przepisów implementujących do projektu ustawy, zapisy sekcji 3 Rozdziału II Dyrektywy 2015/849 </w:t>
      </w:r>
      <w:r w:rsidRPr="00207355">
        <w:rPr>
          <w:rFonts w:cs="Times New Roman"/>
          <w:szCs w:val="24"/>
        </w:rPr>
        <w:t xml:space="preserve">regulujących </w:t>
      </w:r>
      <w:r w:rsidRPr="002E495D">
        <w:rPr>
          <w:rFonts w:cs="Times New Roman"/>
          <w:szCs w:val="24"/>
        </w:rPr>
        <w:t>stosowanie wzmożonych środków bezpieczeństwa finansowego.</w:t>
      </w:r>
      <w:r w:rsidR="00BE0F53" w:rsidRPr="00257A48">
        <w:rPr>
          <w:rFonts w:cs="Times New Roman"/>
          <w:szCs w:val="24"/>
        </w:rPr>
        <w:t xml:space="preserve"> </w:t>
      </w:r>
      <w:r w:rsidRPr="006563D0">
        <w:rPr>
          <w:rFonts w:cs="Times New Roman"/>
          <w:szCs w:val="24"/>
        </w:rPr>
        <w:t xml:space="preserve">Obowiązek </w:t>
      </w:r>
      <w:r w:rsidR="00BE0F53" w:rsidRPr="006563D0">
        <w:rPr>
          <w:rFonts w:cs="Times New Roman"/>
          <w:szCs w:val="24"/>
        </w:rPr>
        <w:t>zastosowania wzmożonych środków</w:t>
      </w:r>
      <w:r w:rsidR="00342CE8" w:rsidRPr="006563D0">
        <w:rPr>
          <w:rFonts w:cs="Times New Roman"/>
          <w:szCs w:val="24"/>
        </w:rPr>
        <w:t xml:space="preserve"> </w:t>
      </w:r>
      <w:r w:rsidRPr="006563D0">
        <w:rPr>
          <w:rFonts w:cs="Times New Roman"/>
          <w:szCs w:val="24"/>
        </w:rPr>
        <w:t xml:space="preserve">bezpieczeństwa finansowego materializuje się w przypadku stosunków gospodarczych lub transakcji okazjonalnych wiążących się z podwyższonym ryzykiem prania pieniędzy lub finansowania terroryzmu. Katalog przypadków, w których można uznać, że stosunki gospodarcze lub transakcja okazjonalna, co do zasady wiążą się z wysokim ryzykiem prania pieniędzy lub finansowania terroryzmu określono w ust. 3. W ust. 2 ustawodawca, zgodnie z regulacją Dyrektywy 2015/849 uznał wskazane w art. </w:t>
      </w:r>
      <w:r w:rsidR="006B6B81">
        <w:rPr>
          <w:rFonts w:cs="Times New Roman"/>
          <w:szCs w:val="24"/>
        </w:rPr>
        <w:t>38</w:t>
      </w:r>
      <w:r w:rsidRPr="006657A5">
        <w:rPr>
          <w:rFonts w:cs="Times New Roman"/>
          <w:szCs w:val="24"/>
        </w:rPr>
        <w:t>-</w:t>
      </w:r>
      <w:r w:rsidR="00342CE8" w:rsidRPr="00207355">
        <w:rPr>
          <w:rFonts w:cs="Times New Roman"/>
          <w:szCs w:val="24"/>
        </w:rPr>
        <w:t>4</w:t>
      </w:r>
      <w:r w:rsidR="006B6B81">
        <w:rPr>
          <w:rFonts w:cs="Times New Roman"/>
          <w:szCs w:val="24"/>
        </w:rPr>
        <w:t>1</w:t>
      </w:r>
      <w:r w:rsidRPr="006657A5">
        <w:rPr>
          <w:rFonts w:cs="Times New Roman"/>
          <w:szCs w:val="24"/>
        </w:rPr>
        <w:t xml:space="preserve"> przypadki za związane z podwyższonym ryzykiem prania pieniędzy lub finansowania terroryzmu, a co za tym idzie</w:t>
      </w:r>
      <w:r w:rsidR="00BE0F53" w:rsidRPr="009F192D">
        <w:rPr>
          <w:rFonts w:cs="Times New Roman"/>
          <w:szCs w:val="24"/>
        </w:rPr>
        <w:t>,</w:t>
      </w:r>
      <w:r w:rsidRPr="00207355">
        <w:rPr>
          <w:rFonts w:cs="Times New Roman"/>
          <w:szCs w:val="24"/>
        </w:rPr>
        <w:t xml:space="preserve"> przewidział wymóg stosowania wzmożonych środków bezpieczeństwa finansowego w tych sytuacjach. </w:t>
      </w:r>
    </w:p>
    <w:p w14:paraId="1C16EF7B" w14:textId="5302577C" w:rsidR="001C7AB8" w:rsidRPr="006563D0" w:rsidRDefault="006B6B81" w:rsidP="006563D0">
      <w:pPr>
        <w:spacing w:line="340" w:lineRule="atLeast"/>
        <w:rPr>
          <w:rFonts w:cs="Times New Roman"/>
          <w:szCs w:val="24"/>
        </w:rPr>
      </w:pPr>
      <w:r>
        <w:rPr>
          <w:rFonts w:cs="Times New Roman"/>
          <w:szCs w:val="24"/>
        </w:rPr>
        <w:t xml:space="preserve">Według </w:t>
      </w:r>
      <w:r w:rsidR="001C7AB8" w:rsidRPr="006657A5">
        <w:rPr>
          <w:rFonts w:cs="Times New Roman"/>
          <w:szCs w:val="24"/>
        </w:rPr>
        <w:t xml:space="preserve">art. </w:t>
      </w:r>
      <w:r>
        <w:rPr>
          <w:rFonts w:cs="Times New Roman"/>
          <w:szCs w:val="24"/>
        </w:rPr>
        <w:t>38</w:t>
      </w:r>
      <w:r w:rsidR="00342CE8" w:rsidRPr="006657A5">
        <w:rPr>
          <w:rFonts w:cs="Times New Roman"/>
          <w:szCs w:val="24"/>
        </w:rPr>
        <w:t xml:space="preserve"> </w:t>
      </w:r>
      <w:r w:rsidR="001C7AB8" w:rsidRPr="009F192D">
        <w:rPr>
          <w:rFonts w:cs="Times New Roman"/>
          <w:szCs w:val="24"/>
        </w:rPr>
        <w:t>wprowadzając</w:t>
      </w:r>
      <w:r>
        <w:rPr>
          <w:rFonts w:cs="Times New Roman"/>
          <w:szCs w:val="24"/>
        </w:rPr>
        <w:t>ego</w:t>
      </w:r>
      <w:r w:rsidR="001C7AB8" w:rsidRPr="006657A5">
        <w:rPr>
          <w:rFonts w:cs="Times New Roman"/>
          <w:szCs w:val="24"/>
        </w:rPr>
        <w:t xml:space="preserve"> do projektu ustawy regulację art. 18 ust. 1 i 2 Dyrektywy 2015/849</w:t>
      </w:r>
      <w:r w:rsidR="00342CE8" w:rsidRPr="009F192D">
        <w:rPr>
          <w:rFonts w:cs="Times New Roman"/>
          <w:szCs w:val="24"/>
        </w:rPr>
        <w:t>,</w:t>
      </w:r>
      <w:r w:rsidR="001C7AB8" w:rsidRPr="00207355">
        <w:rPr>
          <w:rFonts w:cs="Times New Roman"/>
          <w:szCs w:val="24"/>
        </w:rPr>
        <w:t xml:space="preserve"> zgodnie</w:t>
      </w:r>
      <w:r w:rsidR="001C7AB8" w:rsidRPr="00257A48">
        <w:rPr>
          <w:rFonts w:cs="Times New Roman"/>
          <w:szCs w:val="24"/>
        </w:rPr>
        <w:t xml:space="preserve"> z któr</w:t>
      </w:r>
      <w:r>
        <w:rPr>
          <w:rFonts w:cs="Times New Roman"/>
          <w:szCs w:val="24"/>
        </w:rPr>
        <w:t>ą</w:t>
      </w:r>
      <w:r w:rsidR="001C7AB8" w:rsidRPr="006657A5">
        <w:rPr>
          <w:rFonts w:cs="Times New Roman"/>
          <w:szCs w:val="24"/>
        </w:rPr>
        <w:t xml:space="preserve"> wzmożone środki bezpiecze</w:t>
      </w:r>
      <w:r w:rsidR="001C7AB8" w:rsidRPr="009F192D">
        <w:rPr>
          <w:rFonts w:cs="Times New Roman"/>
          <w:szCs w:val="24"/>
        </w:rPr>
        <w:t>ństwa finansowego powinny znaleźć zastosowanie w przypadku do podmiotów mających miejsce zamieszkania lub siedzibę w państwie trzecim wysokiego ryzyka. Jednocześnie, zgodnie z ust. 2, zasada określona w ust. 1 doznaje ograniczeń w stosunku do oddziałów ins</w:t>
      </w:r>
      <w:r w:rsidR="001C7AB8" w:rsidRPr="00207355">
        <w:rPr>
          <w:rFonts w:cs="Times New Roman"/>
          <w:szCs w:val="24"/>
        </w:rPr>
        <w:t xml:space="preserve">tytucji obowiązanych lub jednostek zależnych z większościowym udziałem instytucji obowiązanych oraz oddziałów lub jednostek zależnych z większościowym udziałem podmiotów mających siedzibę na terytorium państwa członkowskiego </w:t>
      </w:r>
      <w:r w:rsidR="00BE0F53" w:rsidRPr="00257A48">
        <w:rPr>
          <w:rFonts w:cs="Times New Roman"/>
          <w:szCs w:val="24"/>
        </w:rPr>
        <w:t>UE</w:t>
      </w:r>
      <w:r w:rsidR="001C7AB8" w:rsidRPr="006563D0">
        <w:rPr>
          <w:rFonts w:cs="Times New Roman"/>
          <w:szCs w:val="24"/>
        </w:rPr>
        <w:t xml:space="preserve"> oraz podlegających obowiązkom wynikającym z przepisów o przeciwdziałaniu praniu pieniędzy oraz finansowaniu terroryzmu,  wydanym na podstawie Dyrektywy 2015/849 i stosującym procedury z zakresu przeciwdziałania praniu pieniędzy i finansowania terroryzmu. W stosunku do tych instytucji zakres stosowanych środków </w:t>
      </w:r>
      <w:r w:rsidR="001C7AB8" w:rsidRPr="006563D0">
        <w:rPr>
          <w:rFonts w:cs="Times New Roman"/>
          <w:szCs w:val="24"/>
        </w:rPr>
        <w:lastRenderedPageBreak/>
        <w:t xml:space="preserve">bezpieczeństwa finansowego powinien uwzględniać rozpoznany poziom ryzyka prania pieniędzy oraz finansowania terroryzmu. </w:t>
      </w:r>
    </w:p>
    <w:p w14:paraId="6480B96E" w14:textId="346E3006" w:rsidR="001C7AB8" w:rsidRPr="006563D0" w:rsidRDefault="001C7AB8" w:rsidP="006563D0">
      <w:pPr>
        <w:spacing w:line="340" w:lineRule="atLeast"/>
        <w:rPr>
          <w:rFonts w:cs="Times New Roman"/>
          <w:szCs w:val="24"/>
        </w:rPr>
      </w:pPr>
      <w:r w:rsidRPr="006563D0">
        <w:rPr>
          <w:rFonts w:cs="Times New Roman"/>
          <w:szCs w:val="24"/>
        </w:rPr>
        <w:t xml:space="preserve">Art. </w:t>
      </w:r>
      <w:r w:rsidR="005F41C8">
        <w:rPr>
          <w:rFonts w:cs="Times New Roman"/>
          <w:szCs w:val="24"/>
        </w:rPr>
        <w:t>39</w:t>
      </w:r>
      <w:r w:rsidR="0031264F" w:rsidRPr="006657A5">
        <w:rPr>
          <w:rFonts w:cs="Times New Roman"/>
          <w:szCs w:val="24"/>
        </w:rPr>
        <w:t xml:space="preserve"> </w:t>
      </w:r>
      <w:r w:rsidRPr="009F192D">
        <w:rPr>
          <w:rFonts w:cs="Times New Roman"/>
          <w:szCs w:val="24"/>
        </w:rPr>
        <w:t xml:space="preserve">implementuje do projektu ustawy uregulowania zawarte w art. 19 Dyrektywy 2015/849. Zgodnie z tym przepisem instytucje obowiązane w przypadku nawiązania transgranicznych relacji korespondenckich z instytucją respondentem z państwa trzeciego oprócz środków bezpieczeństwa finansowego, o których mowa w art. </w:t>
      </w:r>
      <w:r w:rsidR="005F41C8">
        <w:rPr>
          <w:rFonts w:cs="Times New Roman"/>
          <w:szCs w:val="24"/>
        </w:rPr>
        <w:t>29</w:t>
      </w:r>
      <w:r w:rsidR="0031264F" w:rsidRPr="006657A5">
        <w:rPr>
          <w:rFonts w:cs="Times New Roman"/>
          <w:szCs w:val="24"/>
        </w:rPr>
        <w:t xml:space="preserve"> </w:t>
      </w:r>
      <w:r w:rsidRPr="009F192D">
        <w:rPr>
          <w:rFonts w:cs="Times New Roman"/>
          <w:szCs w:val="24"/>
        </w:rPr>
        <w:t>ust. 1</w:t>
      </w:r>
      <w:r w:rsidR="00BE0F53" w:rsidRPr="00207355">
        <w:rPr>
          <w:rFonts w:cs="Times New Roman"/>
          <w:szCs w:val="24"/>
        </w:rPr>
        <w:t>,</w:t>
      </w:r>
      <w:r w:rsidRPr="002E495D">
        <w:rPr>
          <w:rFonts w:cs="Times New Roman"/>
          <w:szCs w:val="24"/>
        </w:rPr>
        <w:t xml:space="preserve"> </w:t>
      </w:r>
      <w:r w:rsidRPr="00257A48">
        <w:rPr>
          <w:rFonts w:cs="Times New Roman"/>
          <w:szCs w:val="24"/>
        </w:rPr>
        <w:t>zobowiązane są do podjęcia, określonych w tym przepisie dodatkowych działań mających na celu odpowiednie ograniczenie ryzyka prania pieniędzy i finansowania terroryzmu.</w:t>
      </w:r>
    </w:p>
    <w:p w14:paraId="4D9B0CA5" w14:textId="49D40BC7" w:rsidR="001C7AB8" w:rsidRPr="006563D0" w:rsidRDefault="001C7AB8" w:rsidP="006563D0">
      <w:pPr>
        <w:spacing w:line="340" w:lineRule="atLeast"/>
        <w:rPr>
          <w:rFonts w:cs="Times New Roman"/>
          <w:szCs w:val="24"/>
        </w:rPr>
      </w:pPr>
      <w:r w:rsidRPr="006563D0">
        <w:rPr>
          <w:rFonts w:cs="Times New Roman"/>
          <w:szCs w:val="24"/>
        </w:rPr>
        <w:t xml:space="preserve">Art. </w:t>
      </w:r>
      <w:r w:rsidR="0031264F" w:rsidRPr="006563D0">
        <w:rPr>
          <w:rFonts w:cs="Times New Roman"/>
          <w:szCs w:val="24"/>
        </w:rPr>
        <w:t>4</w:t>
      </w:r>
      <w:r w:rsidR="00270146">
        <w:rPr>
          <w:rFonts w:cs="Times New Roman"/>
          <w:szCs w:val="24"/>
        </w:rPr>
        <w:t>0</w:t>
      </w:r>
      <w:r w:rsidR="0031264F" w:rsidRPr="006657A5">
        <w:rPr>
          <w:rFonts w:cs="Times New Roman"/>
          <w:szCs w:val="24"/>
        </w:rPr>
        <w:t xml:space="preserve"> </w:t>
      </w:r>
      <w:r w:rsidRPr="009F192D">
        <w:rPr>
          <w:rFonts w:cs="Times New Roman"/>
          <w:szCs w:val="24"/>
        </w:rPr>
        <w:t xml:space="preserve">wprowadza </w:t>
      </w:r>
      <w:r w:rsidRPr="00207355">
        <w:rPr>
          <w:rFonts w:cs="Times New Roman"/>
          <w:szCs w:val="24"/>
        </w:rPr>
        <w:t>do projektu ustawy przepisy art. 20-23 Dyrektywy 2015/849 dotycz</w:t>
      </w:r>
      <w:r w:rsidRPr="002E495D">
        <w:rPr>
          <w:rFonts w:cs="Times New Roman"/>
          <w:szCs w:val="24"/>
        </w:rPr>
        <w:t>ące stosunków gospodarczych lub transakcji okazjonalnych związanych z osobami zajmującymi eksponowane stanowiska polityczne. Ust. 1 określa kluczowy w kontekście kolejnych wymogów obowiązek instytucji obowiązanych do wdrożenia właściwych procedur umożliwia</w:t>
      </w:r>
      <w:r w:rsidRPr="00257A48">
        <w:rPr>
          <w:rFonts w:cs="Times New Roman"/>
          <w:szCs w:val="24"/>
        </w:rPr>
        <w:t>j</w:t>
      </w:r>
      <w:r w:rsidRPr="006563D0">
        <w:rPr>
          <w:rFonts w:cs="Times New Roman"/>
          <w:szCs w:val="24"/>
        </w:rPr>
        <w:t xml:space="preserve">ących identyfikację klientów lub ich beneficjentów rzeczywistych, jako osób zajmujących eksponowane stanowiska polityczne. Ust. 2 precyzuje działania, jakie instytucja obowiązana powinna podjąć w związku z nawiązywaniem stosunków gospodarczych z osobą zajmującą eksponowane stanowisko polityczne. Ust. 3 i 4 adresowane są do instytucji obowiązanych zawierających umowy ubezpieczeń na życie oraz umowy ubezpieczeń o charakterze inwestycyjnym i nakłada na nie obwiązek podjęcia określonych działań w przypadku identyfikacji uprawnionego z tytułu tych umów, jako osoby zajmującej eksponowane stanowisko polityczne.  Zgodnie z ust. 5 wzmożone środki bezpieczeństwa finansowego oraz inne działania właściwe do stosowania w relacjach z osobami zajmującymi eksponowane stanowiska polityczne powinny być podejmowane również po zakończeniu piastowania przez daną osobę eksponowanego stanowiska politycznego w okresie, w którym z osobami takim nadal wiązać się może wyższe ryzyko prania pieniędzy lub finansowania terroryzmu. Okres ten nie powinien  być krótszy niż 12 miesięcy. Zgodnie z ust. 6 wzmożone środki bezpieczeństwa finansowego oraz inne działania właściwe do stosowania w relacjach z osobami zajmującymi eksponowane stanowiska polityczne powinny być podejmowane również w relacjach z członkami rodziny lub osobami znanymi, jako bliscy współpracownicy osób zajmujących eksponowane stanowiska polityczne. </w:t>
      </w:r>
    </w:p>
    <w:p w14:paraId="67A2ED29" w14:textId="45A4847A" w:rsidR="001C7AB8" w:rsidRPr="00257A48" w:rsidRDefault="001C7AB8" w:rsidP="006563D0">
      <w:pPr>
        <w:spacing w:line="340" w:lineRule="atLeast"/>
        <w:rPr>
          <w:rFonts w:cs="Times New Roman"/>
          <w:szCs w:val="24"/>
        </w:rPr>
      </w:pPr>
      <w:r w:rsidRPr="006563D0">
        <w:rPr>
          <w:rFonts w:cs="Times New Roman"/>
          <w:szCs w:val="24"/>
        </w:rPr>
        <w:t xml:space="preserve">Art. </w:t>
      </w:r>
      <w:r w:rsidR="0031264F" w:rsidRPr="006563D0">
        <w:rPr>
          <w:rFonts w:cs="Times New Roman"/>
          <w:szCs w:val="24"/>
        </w:rPr>
        <w:t>4</w:t>
      </w:r>
      <w:r w:rsidR="00270146">
        <w:rPr>
          <w:rFonts w:cs="Times New Roman"/>
          <w:szCs w:val="24"/>
        </w:rPr>
        <w:t>1</w:t>
      </w:r>
      <w:r w:rsidR="0031264F" w:rsidRPr="006657A5">
        <w:rPr>
          <w:rFonts w:cs="Times New Roman"/>
          <w:szCs w:val="24"/>
        </w:rPr>
        <w:t xml:space="preserve"> </w:t>
      </w:r>
      <w:r w:rsidRPr="009F192D">
        <w:rPr>
          <w:rFonts w:cs="Times New Roman"/>
          <w:szCs w:val="24"/>
        </w:rPr>
        <w:t>implementuje do projektu ustawy art. 24</w:t>
      </w:r>
      <w:r w:rsidR="0031264F" w:rsidRPr="00207355">
        <w:rPr>
          <w:rFonts w:cs="Times New Roman"/>
          <w:szCs w:val="24"/>
        </w:rPr>
        <w:t xml:space="preserve"> Dyrektywy 2015/849</w:t>
      </w:r>
      <w:r w:rsidRPr="002E495D">
        <w:rPr>
          <w:rFonts w:cs="Times New Roman"/>
          <w:szCs w:val="24"/>
        </w:rPr>
        <w:t xml:space="preserve">. Jego odpowiednikiem jest art. 9f ustawy </w:t>
      </w:r>
      <w:r w:rsidR="00BE0F53" w:rsidRPr="006563D0">
        <w:rPr>
          <w:rFonts w:cs="Times New Roman"/>
          <w:szCs w:val="24"/>
        </w:rPr>
        <w:t xml:space="preserve">z </w:t>
      </w:r>
      <w:r w:rsidR="00270146" w:rsidRPr="00270146">
        <w:rPr>
          <w:rFonts w:cs="Times New Roman"/>
          <w:szCs w:val="24"/>
        </w:rPr>
        <w:t xml:space="preserve">p.p.p.f.t. </w:t>
      </w:r>
      <w:r w:rsidRPr="009F192D">
        <w:rPr>
          <w:rFonts w:cs="Times New Roman"/>
          <w:szCs w:val="24"/>
        </w:rPr>
        <w:t>Ust. 1 statuuje, adresowany do instytucji obowiązanych będących instytucjami finansowymi lub kredytowymi zakaz nawiązywania i utrzymywania relacji k</w:t>
      </w:r>
      <w:r w:rsidRPr="00207355">
        <w:rPr>
          <w:rFonts w:cs="Times New Roman"/>
          <w:szCs w:val="24"/>
        </w:rPr>
        <w:t>orespondenckich z bankami fikcyjnym oraz z instytucjami finansowymi lub kred</w:t>
      </w:r>
      <w:r w:rsidRPr="002E495D">
        <w:rPr>
          <w:rFonts w:cs="Times New Roman"/>
          <w:szCs w:val="24"/>
        </w:rPr>
        <w:t xml:space="preserve">ytowymi, o których wiadomo, że zawierają umowy o prowadzenia rachunków z bankami fikcyjnymi. </w:t>
      </w:r>
    </w:p>
    <w:p w14:paraId="40E153DA" w14:textId="4D812FDE" w:rsidR="001C7AB8" w:rsidRPr="006563D0" w:rsidRDefault="001C7AB8" w:rsidP="006563D0">
      <w:pPr>
        <w:spacing w:line="340" w:lineRule="atLeast"/>
        <w:rPr>
          <w:rFonts w:cs="Times New Roman"/>
          <w:szCs w:val="24"/>
        </w:rPr>
      </w:pPr>
      <w:r w:rsidRPr="006563D0">
        <w:rPr>
          <w:rFonts w:cs="Times New Roman"/>
          <w:szCs w:val="24"/>
        </w:rPr>
        <w:t xml:space="preserve">Art. </w:t>
      </w:r>
      <w:r w:rsidR="0031264F" w:rsidRPr="006563D0">
        <w:rPr>
          <w:rFonts w:cs="Times New Roman"/>
          <w:szCs w:val="24"/>
        </w:rPr>
        <w:t>4</w:t>
      </w:r>
      <w:r w:rsidR="00270146">
        <w:rPr>
          <w:rFonts w:cs="Times New Roman"/>
          <w:szCs w:val="24"/>
        </w:rPr>
        <w:t>2</w:t>
      </w:r>
      <w:r w:rsidR="0031264F" w:rsidRPr="006657A5">
        <w:rPr>
          <w:rFonts w:cs="Times New Roman"/>
          <w:szCs w:val="24"/>
        </w:rPr>
        <w:t xml:space="preserve"> </w:t>
      </w:r>
      <w:r w:rsidRPr="009F192D">
        <w:rPr>
          <w:rFonts w:cs="Times New Roman"/>
          <w:szCs w:val="24"/>
        </w:rPr>
        <w:t>wprowadza do projektu ustawy przepisy Sekcji 4 Rozdziału II Dyrektywy 2015</w:t>
      </w:r>
      <w:r w:rsidRPr="00207355">
        <w:rPr>
          <w:rFonts w:cs="Times New Roman"/>
          <w:szCs w:val="24"/>
        </w:rPr>
        <w:t xml:space="preserve">/849 dotyczące stosowania środków bezpieczeństwa finansowego przez podmioty trzecie. Obecnie przepisy odnoszące się do korzystania z usług innych podmiotów w zakresie realizacji obowiązków instytucji obowiązanych zawarte są w art. 9h ustawy </w:t>
      </w:r>
      <w:r w:rsidR="00270146" w:rsidRPr="00270146">
        <w:rPr>
          <w:rFonts w:cs="Times New Roman"/>
          <w:szCs w:val="24"/>
        </w:rPr>
        <w:t xml:space="preserve">p.p.p.f.t. </w:t>
      </w:r>
      <w:r w:rsidRPr="009F192D">
        <w:rPr>
          <w:rFonts w:cs="Times New Roman"/>
          <w:szCs w:val="24"/>
        </w:rPr>
        <w:t xml:space="preserve">Zgodnie z ust. 1 </w:t>
      </w:r>
      <w:r w:rsidRPr="009F192D">
        <w:rPr>
          <w:rFonts w:cs="Times New Roman"/>
          <w:szCs w:val="24"/>
        </w:rPr>
        <w:lastRenderedPageBreak/>
        <w:t xml:space="preserve">instytucje obowiązane mogą skorzystać z usług innego podmiotu przy stosowaniu środków bezpieczeństwa finansowego wskazanych w art. </w:t>
      </w:r>
      <w:r w:rsidR="0031264F" w:rsidRPr="002E495D">
        <w:rPr>
          <w:rFonts w:cs="Times New Roman"/>
          <w:szCs w:val="24"/>
        </w:rPr>
        <w:t xml:space="preserve">31 </w:t>
      </w:r>
      <w:r w:rsidRPr="00257A48">
        <w:rPr>
          <w:rFonts w:cs="Times New Roman"/>
          <w:szCs w:val="24"/>
        </w:rPr>
        <w:t>ust. 1-3. W ust. 1 określono także warunki konieczne do spełniania cel</w:t>
      </w:r>
      <w:r w:rsidRPr="006563D0">
        <w:rPr>
          <w:rFonts w:cs="Times New Roman"/>
          <w:szCs w:val="24"/>
        </w:rPr>
        <w:t>u skorzystania z usług innego podmiotu przy stosowaniu środków bezpieczeństwa finansowego oraz zasady odpowiedzialności za właściwe zastosowanie tych środków. W ust. 2 wprowadzono definicję „innego podmiotu”</w:t>
      </w:r>
      <w:r w:rsidR="00BF26FE" w:rsidRPr="006563D0">
        <w:rPr>
          <w:rFonts w:cs="Times New Roman"/>
          <w:szCs w:val="24"/>
        </w:rPr>
        <w:t>,</w:t>
      </w:r>
      <w:r w:rsidRPr="006563D0">
        <w:rPr>
          <w:rFonts w:cs="Times New Roman"/>
          <w:szCs w:val="24"/>
        </w:rPr>
        <w:t xml:space="preserve"> z usług którego instytucja obowiązana może skorzystać przy stosowaniu środków bezpieczeństwa finansowego. Definicja ta obejmuje instytucje obowiązane lub ich zagraniczne odpowiednik z państw, w których podmioty te zobowiązane są do stosowania środków bezpieczeństwa finansowego oraz podlegają właściwemu nadzorowi w sposób analogiczny do określonego w przepisach Dyrektywy 2015/849. W ust. 3 wprowadzono zakaz korzystania z usług innych podmiotów mających siedzibę  w państwie trzecim wysokiego ryzyka. Zakaz te nie dotyczy, podmiotów zależnych instytucji obowiązanych oraz podmiotów zależnych odpowiedników instytucji obowiązanych z innych państw członkowskich mających siedzibę w państwie trzecim wysokiego ryzyka wchodzących w skład grupy oraz w pełni stosujących procedury grupowe. W ust. 4 określono zasady bazowania przez instytucje obowiązane wchodzące skład grupy na środkach bezpieczeństwa finansowego zastosowanych przez inne podmioty wchodzące w skład tej grupy. Zgodnie z ust. 5 zasady określone w poprzedzających ustępach nie znajdą zastosowania w sytuacji, w której środki bezpieczeństwa finansowego stosowane będą przez podmiot, który na podstawie umowy</w:t>
      </w:r>
      <w:r w:rsidR="00BF26FE" w:rsidRPr="006563D0">
        <w:rPr>
          <w:rFonts w:cs="Times New Roman"/>
          <w:szCs w:val="24"/>
        </w:rPr>
        <w:t>,</w:t>
      </w:r>
      <w:r w:rsidRPr="006563D0">
        <w:rPr>
          <w:rFonts w:cs="Times New Roman"/>
          <w:szCs w:val="24"/>
        </w:rPr>
        <w:t xml:space="preserve"> np. umowy agencyjnej lub umowy outsourcingu traktowany jest jako część instytucji obowiązanej.</w:t>
      </w:r>
    </w:p>
    <w:p w14:paraId="75725C55" w14:textId="21387A45" w:rsidR="001C7AB8" w:rsidRPr="006563D0" w:rsidRDefault="001C7AB8" w:rsidP="006563D0">
      <w:pPr>
        <w:spacing w:line="340" w:lineRule="atLeast"/>
        <w:rPr>
          <w:rFonts w:cs="Times New Roman"/>
          <w:szCs w:val="24"/>
        </w:rPr>
      </w:pPr>
      <w:r w:rsidRPr="006563D0">
        <w:rPr>
          <w:rFonts w:cs="Times New Roman"/>
          <w:szCs w:val="24"/>
        </w:rPr>
        <w:t xml:space="preserve">W art. </w:t>
      </w:r>
      <w:r w:rsidR="0031264F" w:rsidRPr="006563D0">
        <w:rPr>
          <w:rFonts w:cs="Times New Roman"/>
          <w:szCs w:val="24"/>
        </w:rPr>
        <w:t>4</w:t>
      </w:r>
      <w:r w:rsidR="00270146">
        <w:rPr>
          <w:rFonts w:cs="Times New Roman"/>
          <w:szCs w:val="24"/>
        </w:rPr>
        <w:t>3</w:t>
      </w:r>
      <w:r w:rsidR="0031264F" w:rsidRPr="006657A5">
        <w:rPr>
          <w:rFonts w:cs="Times New Roman"/>
          <w:szCs w:val="24"/>
        </w:rPr>
        <w:t xml:space="preserve"> </w:t>
      </w:r>
      <w:r w:rsidRPr="009F192D">
        <w:rPr>
          <w:rFonts w:cs="Times New Roman"/>
          <w:szCs w:val="24"/>
        </w:rPr>
        <w:t>implementowano do projektu ustawy przepis ar</w:t>
      </w:r>
      <w:r w:rsidRPr="00207355">
        <w:rPr>
          <w:rFonts w:cs="Times New Roman"/>
          <w:szCs w:val="24"/>
        </w:rPr>
        <w:t>t. 40 Dyrektywy 2015/849 i określono zasady dotyczące przechowywania kopii dokumentów i informacji uzyskanych w wyniku stosowania środków bezpieczeństwa finansowego oraz  dowodów przeprowadzenia i ewidencji transakcji. Wskazano pięcioletni okres przechowyw</w:t>
      </w:r>
      <w:r w:rsidRPr="002E495D">
        <w:rPr>
          <w:rFonts w:cs="Times New Roman"/>
          <w:szCs w:val="24"/>
        </w:rPr>
        <w:t>ani</w:t>
      </w:r>
      <w:r w:rsidRPr="00257A48">
        <w:rPr>
          <w:rFonts w:cs="Times New Roman"/>
          <w:szCs w:val="24"/>
        </w:rPr>
        <w:t>a ww. dokumentów i informacji, którego upływ rozpoczyna się wraz z początkiem roku kalendarzowego następującego po roku kalendarzowym, w którym zakończono stosunki gospodarcze lub przeprowadzono transakcję okazjonalną</w:t>
      </w:r>
      <w:r w:rsidRPr="006563D0">
        <w:rPr>
          <w:rFonts w:cs="Times New Roman"/>
          <w:szCs w:val="24"/>
        </w:rPr>
        <w:t xml:space="preserve">. Okres przechowywania dokumentacji lub informacji może być wydłużony o kolejne pięć lat na żądanie Generalnego Inspektora Informacji Finansowej skierowane przed upływem podstawowego okresu przechowywania. W ust. 3 zawarto odwołanie do przepisów </w:t>
      </w:r>
      <w:r w:rsidRPr="006563D0">
        <w:rPr>
          <w:rFonts w:cs="Times New Roman"/>
          <w:i/>
          <w:szCs w:val="24"/>
        </w:rPr>
        <w:t xml:space="preserve">ustawy </w:t>
      </w:r>
      <w:r w:rsidR="00DA3EC9" w:rsidRPr="006563D0">
        <w:rPr>
          <w:rFonts w:cs="Times New Roman"/>
          <w:i/>
          <w:szCs w:val="24"/>
        </w:rPr>
        <w:t xml:space="preserve">z dnia 29 września 1994 r. </w:t>
      </w:r>
      <w:r w:rsidRPr="006563D0">
        <w:rPr>
          <w:rFonts w:cs="Times New Roman"/>
          <w:i/>
          <w:szCs w:val="24"/>
        </w:rPr>
        <w:t>o rachunkowości</w:t>
      </w:r>
      <w:r w:rsidR="00DA3EC9" w:rsidRPr="006563D0">
        <w:rPr>
          <w:rFonts w:cs="Times New Roman"/>
          <w:i/>
          <w:szCs w:val="24"/>
        </w:rPr>
        <w:t xml:space="preserve"> </w:t>
      </w:r>
      <w:r w:rsidR="00DA3EC9" w:rsidRPr="006563D0">
        <w:rPr>
          <w:rFonts w:cs="Times New Roman"/>
          <w:szCs w:val="24"/>
        </w:rPr>
        <w:t>(Dz. U. z 2013 r., poz. 330, z późn. zm.)</w:t>
      </w:r>
      <w:r w:rsidRPr="006563D0">
        <w:rPr>
          <w:rFonts w:cs="Times New Roman"/>
          <w:szCs w:val="24"/>
        </w:rPr>
        <w:t xml:space="preserve"> regulujących zasady przechowywania dokumentacji w przypadku przekształceń instytucji obowiązanych. </w:t>
      </w:r>
    </w:p>
    <w:p w14:paraId="0F36507B" w14:textId="3E151373" w:rsidR="001C7AB8" w:rsidRPr="006563D0" w:rsidRDefault="001C7AB8" w:rsidP="006563D0">
      <w:pPr>
        <w:spacing w:line="340" w:lineRule="atLeast"/>
        <w:rPr>
          <w:rFonts w:cs="Times New Roman"/>
          <w:szCs w:val="24"/>
        </w:rPr>
      </w:pPr>
      <w:r w:rsidRPr="006563D0">
        <w:rPr>
          <w:rFonts w:cs="Times New Roman"/>
          <w:szCs w:val="24"/>
        </w:rPr>
        <w:t xml:space="preserve">W art. </w:t>
      </w:r>
      <w:r w:rsidR="0031264F" w:rsidRPr="006563D0">
        <w:rPr>
          <w:rFonts w:cs="Times New Roman"/>
          <w:szCs w:val="24"/>
        </w:rPr>
        <w:t>4</w:t>
      </w:r>
      <w:r w:rsidR="00270146">
        <w:rPr>
          <w:rFonts w:cs="Times New Roman"/>
          <w:szCs w:val="24"/>
        </w:rPr>
        <w:t>4</w:t>
      </w:r>
      <w:r w:rsidR="0031264F" w:rsidRPr="006657A5">
        <w:rPr>
          <w:rFonts w:cs="Times New Roman"/>
          <w:szCs w:val="24"/>
        </w:rPr>
        <w:t xml:space="preserve"> </w:t>
      </w:r>
      <w:r w:rsidRPr="009F192D">
        <w:rPr>
          <w:rFonts w:cs="Times New Roman"/>
          <w:szCs w:val="24"/>
        </w:rPr>
        <w:t>ust. 1 wprowadzono do projektu ustawy przepisy art. 8 ust. 3 i 4 Dyrektywy 2015/849, zgodnie z którymi prawo krajowe powinno wymagać wprowadzenia na poziomie instytucji obowiązanych odpowiednich strategii, środków kontroli oraz procedur służących skuteczne</w:t>
      </w:r>
      <w:r w:rsidRPr="00207355">
        <w:rPr>
          <w:rFonts w:cs="Times New Roman"/>
          <w:szCs w:val="24"/>
        </w:rPr>
        <w:t>mu ograniczaniu ryzyka związanego z praniem pieniędzy i finansowaniem terroryzmu. Wymogi</w:t>
      </w:r>
      <w:r w:rsidRPr="002E495D">
        <w:rPr>
          <w:rFonts w:cs="Times New Roman"/>
          <w:szCs w:val="24"/>
        </w:rPr>
        <w:t xml:space="preserve"> dotyczące wewnętrznej procedury w zakresie przeciwdziałania praniu pieniędzy oraz finansowania terroryzmu zawarte są obecnie w art. 10a ustawy </w:t>
      </w:r>
      <w:r w:rsidR="00270146" w:rsidRPr="00270146">
        <w:rPr>
          <w:rFonts w:cs="Times New Roman"/>
          <w:szCs w:val="24"/>
        </w:rPr>
        <w:t xml:space="preserve">p.p.p.f.t. </w:t>
      </w:r>
      <w:r w:rsidRPr="009F192D">
        <w:rPr>
          <w:rFonts w:cs="Times New Roman"/>
          <w:szCs w:val="24"/>
        </w:rPr>
        <w:t xml:space="preserve">Wewnętrzna procedura stanowić ma akt wewnętrzny instytucji obwiązanej, w którym sprecyzowane zostaną zasady postępowania stosowane w instytucji obowiązanej w celu </w:t>
      </w:r>
      <w:r w:rsidRPr="009F192D">
        <w:rPr>
          <w:rFonts w:cs="Times New Roman"/>
          <w:szCs w:val="24"/>
        </w:rPr>
        <w:lastRenderedPageBreak/>
        <w:t xml:space="preserve">właściwego wywiązania się z nałożonych na tę instytucję obowiązków z </w:t>
      </w:r>
      <w:r w:rsidRPr="00207355">
        <w:rPr>
          <w:rFonts w:cs="Times New Roman"/>
          <w:szCs w:val="24"/>
        </w:rPr>
        <w:t>zakresu przeciwdziałania</w:t>
      </w:r>
      <w:r w:rsidRPr="002E495D">
        <w:rPr>
          <w:rFonts w:cs="Times New Roman"/>
          <w:szCs w:val="24"/>
        </w:rPr>
        <w:t xml:space="preserve"> praniu pieniędzy i finansowania terroryzmu. Określenie tych </w:t>
      </w:r>
      <w:r w:rsidRPr="00257A48">
        <w:rPr>
          <w:rFonts w:cs="Times New Roman"/>
          <w:szCs w:val="24"/>
        </w:rPr>
        <w:t>zasad powinno uwzględniać nie tylko cel</w:t>
      </w:r>
      <w:r w:rsidR="00BF26FE" w:rsidRPr="006563D0">
        <w:rPr>
          <w:rFonts w:cs="Times New Roman"/>
          <w:szCs w:val="24"/>
        </w:rPr>
        <w:t>,</w:t>
      </w:r>
      <w:r w:rsidRPr="006563D0">
        <w:rPr>
          <w:rFonts w:cs="Times New Roman"/>
          <w:szCs w:val="24"/>
        </w:rPr>
        <w:t xml:space="preserve"> w jakim są wprowadzane, a więc właściwe ograniczanie i zarządzanie rozpoznanym ryzykiem prania pieniędzy i finansowania terroryzmu, ale również  charakter, rodzaj i rozmiar prowadzonej przez instytucję obowiązana działalność. Minimalny zakres przedmiotowy wewnętrznej procedury instytucji obowiązanej określono w ust. 2. Zgodnie z ust. 3 wewnętrzna procedura instytucji obowiązanej przed jej wdrożeniem powinna uzyskać akceptację osoby odpowiedzialnej, która odpowiada również za prawidłowe stosowanie określonych w procedurze zasad postępowania.</w:t>
      </w:r>
    </w:p>
    <w:p w14:paraId="50C9AD8E" w14:textId="4F46C59E" w:rsidR="001C7AB8" w:rsidRPr="006563D0" w:rsidRDefault="001C7AB8" w:rsidP="006563D0">
      <w:pPr>
        <w:spacing w:line="340" w:lineRule="atLeast"/>
        <w:rPr>
          <w:rFonts w:cs="Times New Roman"/>
          <w:szCs w:val="24"/>
        </w:rPr>
      </w:pPr>
      <w:r w:rsidRPr="006563D0">
        <w:rPr>
          <w:rFonts w:cs="Times New Roman"/>
          <w:szCs w:val="24"/>
        </w:rPr>
        <w:t xml:space="preserve">Art. </w:t>
      </w:r>
      <w:r w:rsidR="0031264F" w:rsidRPr="006563D0">
        <w:rPr>
          <w:rFonts w:cs="Times New Roman"/>
          <w:szCs w:val="24"/>
        </w:rPr>
        <w:t>4</w:t>
      </w:r>
      <w:r w:rsidR="00270146">
        <w:rPr>
          <w:rFonts w:cs="Times New Roman"/>
          <w:szCs w:val="24"/>
        </w:rPr>
        <w:t>5</w:t>
      </w:r>
      <w:r w:rsidR="0031264F" w:rsidRPr="006657A5">
        <w:rPr>
          <w:rFonts w:cs="Times New Roman"/>
          <w:szCs w:val="24"/>
        </w:rPr>
        <w:t xml:space="preserve"> </w:t>
      </w:r>
      <w:r w:rsidRPr="009F192D">
        <w:rPr>
          <w:rFonts w:cs="Times New Roman"/>
          <w:szCs w:val="24"/>
        </w:rPr>
        <w:t xml:space="preserve">uzupełnia zapis art. </w:t>
      </w:r>
      <w:r w:rsidR="0031264F" w:rsidRPr="002E495D">
        <w:rPr>
          <w:rFonts w:cs="Times New Roman"/>
          <w:szCs w:val="24"/>
        </w:rPr>
        <w:t>4</w:t>
      </w:r>
      <w:r w:rsidR="00270146">
        <w:rPr>
          <w:rFonts w:cs="Times New Roman"/>
          <w:szCs w:val="24"/>
        </w:rPr>
        <w:t>4</w:t>
      </w:r>
      <w:r w:rsidR="0031264F" w:rsidRPr="006657A5">
        <w:rPr>
          <w:rFonts w:cs="Times New Roman"/>
          <w:szCs w:val="24"/>
        </w:rPr>
        <w:t xml:space="preserve"> </w:t>
      </w:r>
      <w:r w:rsidRPr="009F192D">
        <w:rPr>
          <w:rFonts w:cs="Times New Roman"/>
          <w:szCs w:val="24"/>
        </w:rPr>
        <w:t>i nakłada na instytucje obowiązane wchodzące w skład gr</w:t>
      </w:r>
      <w:r w:rsidRPr="00207355">
        <w:rPr>
          <w:rFonts w:cs="Times New Roman"/>
          <w:szCs w:val="24"/>
        </w:rPr>
        <w:t>upy wymóg uzupełnienia w</w:t>
      </w:r>
      <w:r w:rsidRPr="002E495D">
        <w:rPr>
          <w:rFonts w:cs="Times New Roman"/>
          <w:szCs w:val="24"/>
        </w:rPr>
        <w:t>ewnętrznych regulacji obowiązujących na poziomie poszczególnych instytucji obowiązanych o  wewnętrzną regulację obowiązującą na poziomie grupy. Art. 40 implementuje do projektu ustawy art. 45 ust. 1 Dyrektywy 2015/849. Ust. 2 określa minimalny zakres przed</w:t>
      </w:r>
      <w:r w:rsidRPr="00257A48">
        <w:rPr>
          <w:rFonts w:cs="Times New Roman"/>
          <w:szCs w:val="24"/>
        </w:rPr>
        <w:t>miotowy procedury z za</w:t>
      </w:r>
      <w:r w:rsidRPr="006563D0">
        <w:rPr>
          <w:rFonts w:cs="Times New Roman"/>
          <w:szCs w:val="24"/>
        </w:rPr>
        <w:t xml:space="preserve">kresu przeciwdziałania praniu pieniędzy i finansowania terroryzmu obwiązującej na poziomie grupy. </w:t>
      </w:r>
    </w:p>
    <w:p w14:paraId="6E9D4C34" w14:textId="2C0E1BA3" w:rsidR="001C7AB8" w:rsidRDefault="001C7AB8" w:rsidP="006563D0">
      <w:pPr>
        <w:spacing w:line="340" w:lineRule="atLeast"/>
        <w:rPr>
          <w:rFonts w:cs="Times New Roman"/>
          <w:szCs w:val="24"/>
        </w:rPr>
      </w:pPr>
      <w:r w:rsidRPr="006563D0">
        <w:rPr>
          <w:rFonts w:cs="Times New Roman"/>
          <w:szCs w:val="24"/>
        </w:rPr>
        <w:t xml:space="preserve">Art. </w:t>
      </w:r>
      <w:r w:rsidR="0031264F" w:rsidRPr="006563D0">
        <w:rPr>
          <w:rFonts w:cs="Times New Roman"/>
          <w:szCs w:val="24"/>
        </w:rPr>
        <w:t>4</w:t>
      </w:r>
      <w:r w:rsidR="00270146">
        <w:rPr>
          <w:rFonts w:cs="Times New Roman"/>
          <w:szCs w:val="24"/>
        </w:rPr>
        <w:t>6</w:t>
      </w:r>
      <w:r w:rsidR="0031264F" w:rsidRPr="006657A5">
        <w:rPr>
          <w:rFonts w:cs="Times New Roman"/>
          <w:szCs w:val="24"/>
        </w:rPr>
        <w:t xml:space="preserve"> </w:t>
      </w:r>
      <w:r w:rsidRPr="009F192D">
        <w:rPr>
          <w:rFonts w:cs="Times New Roman"/>
          <w:szCs w:val="24"/>
        </w:rPr>
        <w:t xml:space="preserve">stanowi odpowiednik art. 10a ust. 4 ustawy </w:t>
      </w:r>
      <w:r w:rsidR="00270146" w:rsidRPr="00270146">
        <w:rPr>
          <w:rFonts w:cs="Times New Roman"/>
          <w:szCs w:val="24"/>
        </w:rPr>
        <w:t xml:space="preserve">p.p.p.f.t. </w:t>
      </w:r>
      <w:r w:rsidR="00270146">
        <w:rPr>
          <w:rFonts w:cs="Times New Roman"/>
          <w:szCs w:val="24"/>
        </w:rPr>
        <w:t xml:space="preserve">Przepis </w:t>
      </w:r>
      <w:r w:rsidRPr="009F192D">
        <w:rPr>
          <w:rFonts w:cs="Times New Roman"/>
          <w:szCs w:val="24"/>
        </w:rPr>
        <w:t>wprowadza do projektu ustawy wymogi wynikające z art. 46</w:t>
      </w:r>
      <w:r w:rsidR="00270146">
        <w:rPr>
          <w:rFonts w:cs="Times New Roman"/>
          <w:szCs w:val="24"/>
        </w:rPr>
        <w:t xml:space="preserve"> ust. 1</w:t>
      </w:r>
      <w:r w:rsidRPr="005942A4">
        <w:rPr>
          <w:rFonts w:cs="Times New Roman"/>
          <w:szCs w:val="24"/>
        </w:rPr>
        <w:t xml:space="preserve"> Dyrektywy 2015/849 i nakłada na instytucje obowiązane obowiązek zapewnienia udziału pracowników w programach szkoleniowych za zakresu przeciwdzia</w:t>
      </w:r>
      <w:r w:rsidRPr="006657A5">
        <w:rPr>
          <w:rFonts w:cs="Times New Roman"/>
          <w:szCs w:val="24"/>
        </w:rPr>
        <w:t>łania praniu pieniędzy i finansowani</w:t>
      </w:r>
      <w:r w:rsidRPr="009F192D">
        <w:rPr>
          <w:rFonts w:cs="Times New Roman"/>
          <w:szCs w:val="24"/>
        </w:rPr>
        <w:t xml:space="preserve">a terroryzmu. Zakres programów szkoleniowych wdrażanych w poszczególnych instytucjach obowiązanych, zgodnie z art. </w:t>
      </w:r>
      <w:r w:rsidR="0031264F" w:rsidRPr="002E495D">
        <w:rPr>
          <w:rFonts w:cs="Times New Roman"/>
          <w:szCs w:val="24"/>
        </w:rPr>
        <w:t>4</w:t>
      </w:r>
      <w:r w:rsidR="00270146">
        <w:rPr>
          <w:rFonts w:cs="Times New Roman"/>
          <w:szCs w:val="24"/>
        </w:rPr>
        <w:t>6</w:t>
      </w:r>
      <w:r w:rsidR="0031264F" w:rsidRPr="006657A5">
        <w:rPr>
          <w:rFonts w:cs="Times New Roman"/>
          <w:szCs w:val="24"/>
        </w:rPr>
        <w:t xml:space="preserve"> </w:t>
      </w:r>
      <w:r w:rsidRPr="009F192D">
        <w:rPr>
          <w:rFonts w:cs="Times New Roman"/>
          <w:szCs w:val="24"/>
        </w:rPr>
        <w:t xml:space="preserve">zd. </w:t>
      </w:r>
      <w:r w:rsidR="00AA4898" w:rsidRPr="00207355">
        <w:rPr>
          <w:rFonts w:cs="Times New Roman"/>
          <w:szCs w:val="24"/>
        </w:rPr>
        <w:t>d</w:t>
      </w:r>
      <w:r w:rsidRPr="002E495D">
        <w:rPr>
          <w:rFonts w:cs="Times New Roman"/>
          <w:szCs w:val="24"/>
        </w:rPr>
        <w:t>rugie</w:t>
      </w:r>
      <w:r w:rsidR="00AA4898" w:rsidRPr="00257A48">
        <w:rPr>
          <w:rFonts w:cs="Times New Roman"/>
          <w:szCs w:val="24"/>
        </w:rPr>
        <w:t>,</w:t>
      </w:r>
      <w:r w:rsidRPr="006563D0">
        <w:rPr>
          <w:rFonts w:cs="Times New Roman"/>
          <w:szCs w:val="24"/>
        </w:rPr>
        <w:t xml:space="preserve"> powinien uwzględniać specyfikę instytucji, w których jest wdrażany.</w:t>
      </w:r>
    </w:p>
    <w:p w14:paraId="61CF1FE1" w14:textId="40655ED0" w:rsidR="00270146" w:rsidRPr="005942A4" w:rsidRDefault="00270146" w:rsidP="006563D0">
      <w:pPr>
        <w:spacing w:line="340" w:lineRule="atLeast"/>
        <w:rPr>
          <w:rFonts w:cs="Times New Roman"/>
          <w:szCs w:val="24"/>
        </w:rPr>
      </w:pPr>
      <w:r>
        <w:rPr>
          <w:rFonts w:cs="Times New Roman"/>
          <w:szCs w:val="24"/>
        </w:rPr>
        <w:t xml:space="preserve">W art. 47 nałożono obowiązek </w:t>
      </w:r>
      <w:r w:rsidR="0090693B">
        <w:rPr>
          <w:rFonts w:cs="Times New Roman"/>
          <w:szCs w:val="24"/>
        </w:rPr>
        <w:t>wprowadzenia na poziomie instytucji obowiązanych procedury</w:t>
      </w:r>
      <w:r w:rsidR="0090693B" w:rsidRPr="0090693B">
        <w:rPr>
          <w:rFonts w:cs="Times New Roman"/>
          <w:szCs w:val="24"/>
        </w:rPr>
        <w:t xml:space="preserve"> zgłaszania rzeczywistych lub potencjalnych naruszeń przepisów z zakresu przeciwdziałania praniu pieniędzy oraz finansowaniu terroryzmu.</w:t>
      </w:r>
      <w:r w:rsidR="0090693B">
        <w:rPr>
          <w:rFonts w:cs="Times New Roman"/>
          <w:szCs w:val="24"/>
        </w:rPr>
        <w:t xml:space="preserve"> Przepis wprowadza do projektu ustawy wymogi dotyczące tzw. „whistleblowing-u” wynikające z art. 61 ust. 3.</w:t>
      </w:r>
    </w:p>
    <w:p w14:paraId="3728EC36" w14:textId="097D1EBE" w:rsidR="001C7AB8" w:rsidRPr="006563D0" w:rsidRDefault="001C7AB8" w:rsidP="006563D0">
      <w:pPr>
        <w:spacing w:line="340" w:lineRule="atLeast"/>
        <w:rPr>
          <w:rFonts w:cs="Times New Roman"/>
          <w:szCs w:val="24"/>
        </w:rPr>
      </w:pPr>
      <w:r w:rsidRPr="006657A5">
        <w:rPr>
          <w:rFonts w:cs="Times New Roman"/>
          <w:szCs w:val="24"/>
        </w:rPr>
        <w:t>Art. 4</w:t>
      </w:r>
      <w:r w:rsidR="0090693B">
        <w:rPr>
          <w:rFonts w:cs="Times New Roman"/>
          <w:szCs w:val="24"/>
        </w:rPr>
        <w:t>8</w:t>
      </w:r>
      <w:r w:rsidRPr="006657A5">
        <w:rPr>
          <w:rFonts w:cs="Times New Roman"/>
          <w:szCs w:val="24"/>
        </w:rPr>
        <w:t xml:space="preserve"> wprowadza do projektu ustawy przepis art. 39 Dyrektywy 2015</w:t>
      </w:r>
      <w:r w:rsidR="00AA4898" w:rsidRPr="009F192D">
        <w:rPr>
          <w:rFonts w:cs="Times New Roman"/>
          <w:szCs w:val="24"/>
        </w:rPr>
        <w:t>/849</w:t>
      </w:r>
      <w:r w:rsidRPr="00207355">
        <w:rPr>
          <w:rFonts w:cs="Times New Roman"/>
          <w:szCs w:val="24"/>
        </w:rPr>
        <w:t xml:space="preserve"> regulujący zasady wymiany informacji po miedzy instytucjami obowiązanymi. Art. 39 ust. 1 Dyrektywy 2015/849 ustanawia generalny zakaz informowania pr</w:t>
      </w:r>
      <w:r w:rsidRPr="002E495D">
        <w:rPr>
          <w:rFonts w:cs="Times New Roman"/>
          <w:szCs w:val="24"/>
        </w:rPr>
        <w:t>zez instytucje obowiązane lub osoby działające w ich imieniu, o przekazaniu właściwym organom informacji na temat wartości majątkowych w stosunku do, których instytucja obowiązana powzięła podejrzenia, że wartości te pochodzą lub mogą pochodzić z działalno</w:t>
      </w:r>
      <w:r w:rsidRPr="00257A48">
        <w:rPr>
          <w:rFonts w:cs="Times New Roman"/>
          <w:szCs w:val="24"/>
        </w:rPr>
        <w:t>ści o charakterze przestępczym lub mieć związek z finansowaniem terroryzmu. Zakazane jest również przekazywanie informacji o prowadzonych analizach dotyczących prania pieniędzy lub finansowania terroryzmu. Zakaz przekazywania informacji obejmuje zarówno kl</w:t>
      </w:r>
      <w:r w:rsidRPr="006563D0">
        <w:rPr>
          <w:rFonts w:cs="Times New Roman"/>
          <w:szCs w:val="24"/>
        </w:rPr>
        <w:t xml:space="preserve">ienta, którego dotyczy informacja o podejrzanych wartościach majątkowych, jak i jakichkolwiek osób trzecich. W kolejnych ustępach art. </w:t>
      </w:r>
      <w:r w:rsidR="0031264F" w:rsidRPr="006563D0">
        <w:rPr>
          <w:rFonts w:cs="Times New Roman"/>
          <w:szCs w:val="24"/>
        </w:rPr>
        <w:t>4</w:t>
      </w:r>
      <w:r w:rsidR="0090693B">
        <w:rPr>
          <w:rFonts w:cs="Times New Roman"/>
          <w:szCs w:val="24"/>
        </w:rPr>
        <w:t>8</w:t>
      </w:r>
      <w:r w:rsidR="0031264F" w:rsidRPr="006657A5">
        <w:rPr>
          <w:rFonts w:cs="Times New Roman"/>
          <w:szCs w:val="24"/>
        </w:rPr>
        <w:t xml:space="preserve"> </w:t>
      </w:r>
      <w:r w:rsidRPr="009F192D">
        <w:rPr>
          <w:rFonts w:cs="Times New Roman"/>
          <w:szCs w:val="24"/>
        </w:rPr>
        <w:t xml:space="preserve">sformułowano wyjątki od zasady zakazu udostępniania informacji. W ust. 2 dopuszczono przekazywanie informacji o zastosowanych </w:t>
      </w:r>
      <w:r w:rsidRPr="00207355">
        <w:rPr>
          <w:rFonts w:cs="Times New Roman"/>
          <w:szCs w:val="24"/>
        </w:rPr>
        <w:t>środkach bezpieczeństwa finansowego oraz o przekazanych właściwym organom zawiadomieniom o podejrzanych wartościach majątkowych, k</w:t>
      </w:r>
      <w:r w:rsidRPr="002E495D">
        <w:rPr>
          <w:rFonts w:cs="Times New Roman"/>
          <w:szCs w:val="24"/>
        </w:rPr>
        <w:t xml:space="preserve">tóre mogą być wymieniane pomiędzy podmiotami wchodzącymi </w:t>
      </w:r>
      <w:r w:rsidRPr="002E495D">
        <w:rPr>
          <w:rFonts w:cs="Times New Roman"/>
          <w:szCs w:val="24"/>
        </w:rPr>
        <w:lastRenderedPageBreak/>
        <w:t>w skład grupy. W ust. 3 i 4 dopuszczono wymianę informacj</w:t>
      </w:r>
      <w:r w:rsidRPr="00257A48">
        <w:rPr>
          <w:rFonts w:cs="Times New Roman"/>
          <w:szCs w:val="24"/>
        </w:rPr>
        <w:t>i pomiędzy instytucjami obowiązanymi należącymi, jak to określa Dyrektywa 2015/849 do tej samej „kategorii zawodowej” w sytuacji, gdy informacje przekazane dotyczą tego samego klienta i tej samej transakcji.</w:t>
      </w:r>
    </w:p>
    <w:p w14:paraId="23313D78" w14:textId="61A194EB" w:rsidR="001C7AB8" w:rsidRPr="005942A4" w:rsidRDefault="001C7AB8" w:rsidP="006563D0">
      <w:pPr>
        <w:spacing w:line="340" w:lineRule="atLeast"/>
        <w:rPr>
          <w:rFonts w:cs="Times New Roman"/>
          <w:szCs w:val="24"/>
        </w:rPr>
      </w:pPr>
      <w:r w:rsidRPr="006563D0">
        <w:rPr>
          <w:rFonts w:cs="Times New Roman"/>
          <w:szCs w:val="24"/>
        </w:rPr>
        <w:t xml:space="preserve">W art. </w:t>
      </w:r>
      <w:r w:rsidR="0090693B">
        <w:rPr>
          <w:rFonts w:cs="Times New Roman"/>
          <w:szCs w:val="24"/>
        </w:rPr>
        <w:t>49</w:t>
      </w:r>
      <w:r w:rsidR="0031264F" w:rsidRPr="006657A5">
        <w:rPr>
          <w:rFonts w:cs="Times New Roman"/>
          <w:szCs w:val="24"/>
        </w:rPr>
        <w:t xml:space="preserve"> </w:t>
      </w:r>
      <w:r w:rsidRPr="009F192D">
        <w:rPr>
          <w:rFonts w:cs="Times New Roman"/>
          <w:szCs w:val="24"/>
        </w:rPr>
        <w:t>zawarto obowiązek wyznaczenia w instytucji ob</w:t>
      </w:r>
      <w:r w:rsidRPr="00207355">
        <w:rPr>
          <w:rFonts w:cs="Times New Roman"/>
          <w:szCs w:val="24"/>
        </w:rPr>
        <w:t xml:space="preserve">owiązanej </w:t>
      </w:r>
      <w:r w:rsidR="0090693B">
        <w:rPr>
          <w:rFonts w:cs="Times New Roman"/>
          <w:szCs w:val="24"/>
        </w:rPr>
        <w:t>osoby pełniącej funkcję kadry kierowniczej wyższego szczebla.</w:t>
      </w:r>
    </w:p>
    <w:p w14:paraId="5E732A74" w14:textId="6473AB20" w:rsidR="00543014" w:rsidRPr="006563D0" w:rsidRDefault="001C7AB8" w:rsidP="006563D0">
      <w:pPr>
        <w:spacing w:line="340" w:lineRule="atLeast"/>
      </w:pPr>
      <w:r w:rsidRPr="006657A5">
        <w:rPr>
          <w:rFonts w:cs="Times New Roman"/>
          <w:szCs w:val="24"/>
        </w:rPr>
        <w:t xml:space="preserve">Art. </w:t>
      </w:r>
      <w:r w:rsidR="0031264F" w:rsidRPr="00207355">
        <w:rPr>
          <w:rFonts w:cs="Times New Roman"/>
          <w:szCs w:val="24"/>
        </w:rPr>
        <w:t>5</w:t>
      </w:r>
      <w:r w:rsidR="0090693B">
        <w:rPr>
          <w:rFonts w:cs="Times New Roman"/>
          <w:szCs w:val="24"/>
        </w:rPr>
        <w:t>0</w:t>
      </w:r>
      <w:r w:rsidR="0031264F" w:rsidRPr="006657A5">
        <w:rPr>
          <w:rFonts w:cs="Times New Roman"/>
          <w:szCs w:val="24"/>
        </w:rPr>
        <w:t xml:space="preserve"> </w:t>
      </w:r>
      <w:r w:rsidRPr="009F192D">
        <w:rPr>
          <w:rFonts w:cs="Times New Roman"/>
          <w:szCs w:val="24"/>
        </w:rPr>
        <w:t>implementuje do krajowego porządku prawnego art. 45 ust. 9 Dyrektywy 2015/849 i nakłada na unijne instytucje płatnicze oraz unijne instytucje pieniądza elektronicznego wykonujące usługi płatnicze na terytorium Rzeczypospolitej Polskiej w ramach działalnośc</w:t>
      </w:r>
      <w:r w:rsidRPr="00207355">
        <w:rPr>
          <w:rFonts w:cs="Times New Roman"/>
          <w:szCs w:val="24"/>
        </w:rPr>
        <w:t>i transgranicznej lub poprzez agenta oraz unijne instytucje pieniądza elektronic</w:t>
      </w:r>
      <w:r w:rsidRPr="002E495D">
        <w:rPr>
          <w:rFonts w:cs="Times New Roman"/>
          <w:szCs w:val="24"/>
        </w:rPr>
        <w:t>znego wykonujące na terytorium Rzeczypospolitej Polskiej działalność w zakresie w zakresie wydawania pieni</w:t>
      </w:r>
      <w:r w:rsidRPr="00257A48">
        <w:rPr>
          <w:rFonts w:cs="Times New Roman"/>
          <w:szCs w:val="24"/>
        </w:rPr>
        <w:t>ądza elektronicznego w ramach działalności transgranicznej obowiązek ustanowienia centralnego punktu kontaktowego. Instytucje te objęte są obowiązkami</w:t>
      </w:r>
      <w:r w:rsidRPr="006563D0">
        <w:rPr>
          <w:rFonts w:cs="Times New Roman"/>
          <w:szCs w:val="24"/>
        </w:rPr>
        <w:t xml:space="preserve"> z zakresu przeciwdziałania praniu pieniędzy i finansowania terroryzmu w państwie członkowskim na terytorium, którego umiejscowiona jest ich siedziba, jednak ze względu na fakt, że zgodnie z </w:t>
      </w:r>
      <w:r w:rsidR="00AA4898" w:rsidRPr="006563D0">
        <w:rPr>
          <w:rFonts w:cs="Times New Roman"/>
          <w:i/>
          <w:szCs w:val="24"/>
        </w:rPr>
        <w:t xml:space="preserve">ustawą </w:t>
      </w:r>
      <w:r w:rsidR="00DA3EC9" w:rsidRPr="006563D0">
        <w:rPr>
          <w:rFonts w:cs="Times New Roman"/>
          <w:i/>
          <w:szCs w:val="24"/>
        </w:rPr>
        <w:t xml:space="preserve">z dnia 19 sierpnia 2011 r. </w:t>
      </w:r>
      <w:r w:rsidRPr="006563D0">
        <w:rPr>
          <w:rFonts w:cs="Times New Roman"/>
          <w:i/>
          <w:szCs w:val="24"/>
        </w:rPr>
        <w:t>o usługach płatniczych</w:t>
      </w:r>
      <w:r w:rsidRPr="006563D0">
        <w:rPr>
          <w:rFonts w:cs="Times New Roman"/>
          <w:szCs w:val="24"/>
        </w:rPr>
        <w:t xml:space="preserve"> </w:t>
      </w:r>
      <w:r w:rsidR="00DA3EC9" w:rsidRPr="006563D0">
        <w:rPr>
          <w:rFonts w:cs="Times New Roman"/>
          <w:szCs w:val="24"/>
        </w:rPr>
        <w:t xml:space="preserve">(Dz. U. z 2014 r. poz. 873, z późn. zm.) </w:t>
      </w:r>
      <w:r w:rsidRPr="006563D0">
        <w:rPr>
          <w:rFonts w:cs="Times New Roman"/>
          <w:szCs w:val="24"/>
        </w:rPr>
        <w:t>podmioty te mogą prowadzić działalność na terytorium Rzeczypospolitej Polskiej bez konieczności ustanawiania oddziału</w:t>
      </w:r>
      <w:r w:rsidR="00AA4898" w:rsidRPr="006563D0">
        <w:rPr>
          <w:rFonts w:cs="Times New Roman"/>
          <w:szCs w:val="24"/>
        </w:rPr>
        <w:t>,</w:t>
      </w:r>
      <w:r w:rsidRPr="006563D0">
        <w:rPr>
          <w:rFonts w:cs="Times New Roman"/>
          <w:szCs w:val="24"/>
        </w:rPr>
        <w:t xml:space="preserve"> zdecydowano się na wykorzystanie przewidzianej w art. 45 ust. 9 Dyrektywy 2015/849 możliwości nałożenia na takie podmioty obowiązku ustanow</w:t>
      </w:r>
      <w:r w:rsidR="00AA4898" w:rsidRPr="006563D0">
        <w:rPr>
          <w:rFonts w:cs="Times New Roman"/>
          <w:szCs w:val="24"/>
        </w:rPr>
        <w:t>i</w:t>
      </w:r>
      <w:r w:rsidRPr="006563D0">
        <w:rPr>
          <w:rFonts w:cs="Times New Roman"/>
          <w:szCs w:val="24"/>
        </w:rPr>
        <w:t xml:space="preserve">enia na terytorium Rzeczypospolitej Polskiej centralnych punktów kontaktowych. </w:t>
      </w:r>
      <w:r w:rsidR="00AA4898" w:rsidRPr="006563D0">
        <w:rPr>
          <w:rFonts w:cs="Times New Roman"/>
          <w:szCs w:val="24"/>
        </w:rPr>
        <w:t>Centralne punkty kontaktowe będą o</w:t>
      </w:r>
      <w:r w:rsidRPr="006563D0">
        <w:rPr>
          <w:rFonts w:cs="Times New Roman"/>
          <w:szCs w:val="24"/>
        </w:rPr>
        <w:t>dpowiedzialn</w:t>
      </w:r>
      <w:r w:rsidR="00AA4898" w:rsidRPr="006563D0">
        <w:rPr>
          <w:rFonts w:cs="Times New Roman"/>
          <w:szCs w:val="24"/>
        </w:rPr>
        <w:t>e</w:t>
      </w:r>
      <w:r w:rsidRPr="006563D0">
        <w:rPr>
          <w:rFonts w:cs="Times New Roman"/>
          <w:szCs w:val="24"/>
        </w:rPr>
        <w:t xml:space="preserve"> za zapewnienie, że działalność tych instytucji na terytorium Rzeczypospolitej Polskiej zgodna będzie z polskimi przepisami o przeciwdziałaniu praniu pieniędzy oraz finansowaniu terroryzmu, a przede wszystkim za udostępnianie na żądanie Generalnego Inspektora informacji koniecznych do realizacji jego ustawowych zadań.  </w:t>
      </w:r>
    </w:p>
    <w:p w14:paraId="044DAD89" w14:textId="4478D4A6" w:rsidR="00C12B11" w:rsidRPr="006563D0" w:rsidRDefault="00C12B11" w:rsidP="006563D0">
      <w:pPr>
        <w:spacing w:line="340" w:lineRule="atLeast"/>
        <w:rPr>
          <w:rFonts w:cs="Times New Roman"/>
          <w:szCs w:val="24"/>
        </w:rPr>
      </w:pPr>
      <w:r w:rsidRPr="006563D0">
        <w:rPr>
          <w:rFonts w:cs="Times New Roman"/>
          <w:szCs w:val="24"/>
        </w:rPr>
        <w:t xml:space="preserve">Przepisy Rozdziału 6 transponują do projektu ustawy wymogi związane z zapewnieniem ujawniania oraz dostępu do informacji o beneficjentach rzeczywistych podmiotów o charakterze korporacyjnym i innych podmiotów prawnych wynikające z Rozdziału III Dyrektywy 2015/849, w tym przede wszystkim z art. 30. </w:t>
      </w:r>
    </w:p>
    <w:p w14:paraId="33071512" w14:textId="389DECE5" w:rsidR="00C12B11" w:rsidRPr="006563D0" w:rsidRDefault="00C12B11" w:rsidP="006563D0">
      <w:pPr>
        <w:spacing w:line="340" w:lineRule="atLeast"/>
        <w:rPr>
          <w:rFonts w:cs="Times New Roman"/>
          <w:szCs w:val="24"/>
        </w:rPr>
      </w:pPr>
      <w:r w:rsidRPr="006563D0">
        <w:rPr>
          <w:rFonts w:cs="Times New Roman"/>
          <w:szCs w:val="24"/>
        </w:rPr>
        <w:t>Art. 30 ust. 1 Dyrektywy 2015/849 nakłada na państwa członkowskie obowiązek nałożenia na podmioty o charakterze korporacyjnym i inne podmioty prawne obowiązek wymogu dysponowania odpowiednimi, dokładnymi i aktualnymi informacjami o ich beneficjentach rzeczywistych, łącznie ze szczegółowymi informacjami o stosunkach łączących je z beneficjentami rzeczywistymi. Natomiast, art. 30 ust. 3 Dyrektywy 2015/849 nakłada na państwa członkowskie obowiązek zapewnienia przechowywania informacji o beneficjentach rzeczywistych podmiotów o charakterze korporacyjnym i innych podmiotów prawnych w centralnym rejestrze. Wyjaśnienie przyczyn, jakimi kierował się normodawca europejski ustawiając oba ww. obowiązki, zawarte jest w motywie 14 preambuły Dyrektywy 2015/849.</w:t>
      </w:r>
    </w:p>
    <w:p w14:paraId="31C02523" w14:textId="77777777" w:rsidR="00C12B11" w:rsidRPr="006563D0" w:rsidRDefault="00C12B11" w:rsidP="006563D0">
      <w:pPr>
        <w:spacing w:line="340" w:lineRule="atLeast"/>
        <w:rPr>
          <w:rFonts w:cs="Times New Roman"/>
          <w:szCs w:val="24"/>
        </w:rPr>
      </w:pPr>
      <w:r w:rsidRPr="006563D0">
        <w:rPr>
          <w:rFonts w:cs="Times New Roman"/>
          <w:szCs w:val="24"/>
        </w:rPr>
        <w:lastRenderedPageBreak/>
        <w:t xml:space="preserve">Prawidłowa transpozycja przepisów dotyczących informacji o beneficjentach rzeczywistych wymaga określenia zakresu podmiotowego i zdefiniowania na gruncie prawa krajowego pojęcia „podmioty o charakterze korporacyjnym i inne podmioty prawne”. </w:t>
      </w:r>
    </w:p>
    <w:p w14:paraId="335D8223" w14:textId="77777777" w:rsidR="00C12B11" w:rsidRPr="006563D0" w:rsidRDefault="00C12B11" w:rsidP="006563D0">
      <w:pPr>
        <w:spacing w:line="340" w:lineRule="atLeast"/>
        <w:rPr>
          <w:rFonts w:cs="Times New Roman"/>
          <w:szCs w:val="24"/>
        </w:rPr>
      </w:pPr>
      <w:r w:rsidRPr="006563D0">
        <w:rPr>
          <w:rFonts w:cs="Times New Roman"/>
          <w:szCs w:val="24"/>
        </w:rPr>
        <w:t xml:space="preserve">W prawie polskim brak jest przepisów pozwalających jednoznacznie określić, czy podmiot prawa ma charakter korporacyjny. Powszechnie przyjmuje się podział podmiotów prawa na oparte na substracie osobowym podmioty typu korporacyjnego oraz na oparte na substracie majątkowym podmioty typu zakładowego. Wyróżnia się także podmioty o charakterze mieszanym (korporacyjno-zakładowym lub zakładowo-korporacyjnym) charakteryzujące się specyficznym połączeniem elementów zakładowych i korporacyjnych. Powszechnie przyjmuje się, iż podmioty prawa typu korporacyjnego są zbiorowościami osób związanych z tym podmiotem stosunkiem członkostwa realizujących wspólne cele oraz decydujących o celach i aktywności korporacji. </w:t>
      </w:r>
    </w:p>
    <w:p w14:paraId="25564B10" w14:textId="77777777" w:rsidR="00C12B11" w:rsidRPr="006563D0" w:rsidRDefault="00C12B11" w:rsidP="006563D0">
      <w:pPr>
        <w:spacing w:line="340" w:lineRule="atLeast"/>
        <w:rPr>
          <w:rFonts w:cs="Times New Roman"/>
          <w:szCs w:val="24"/>
        </w:rPr>
      </w:pPr>
      <w:r w:rsidRPr="006563D0">
        <w:rPr>
          <w:rFonts w:cs="Times New Roman"/>
          <w:szCs w:val="24"/>
        </w:rPr>
        <w:t xml:space="preserve">W celu prawidłowego określenia zakresu podmiotowego pojęcie „podmioty o charakterze korporacyjnym i inne podmioty prawne” powinno być poddane zabiegom interpretacyjnym nie tylko przy zastosowaniu wykładni językowej, ale przez pryzmat fundamentalnej zasady standardu FATF, tj. podejścia opartego o analizę ryzyka. Zgodnie z tą zasadą państwa powinny zidentyfikować, ocenić oraz zrozumieć ryzyka prania pieniędzy oraz finansowania terroryzmu występujące w danym kraju, oraz powinny podjąć działania mające na celu ocenę ryzyka i stosowanie środków nakierowanych na efektywne jego ograniczenie.  </w:t>
      </w:r>
    </w:p>
    <w:p w14:paraId="7A8A7030" w14:textId="77777777" w:rsidR="00C12B11" w:rsidRPr="006563D0" w:rsidRDefault="00C12B11" w:rsidP="006563D0">
      <w:pPr>
        <w:spacing w:line="340" w:lineRule="atLeast"/>
        <w:rPr>
          <w:rFonts w:cs="Times New Roman"/>
          <w:szCs w:val="24"/>
        </w:rPr>
      </w:pPr>
      <w:r w:rsidRPr="006563D0">
        <w:rPr>
          <w:rFonts w:cs="Times New Roman"/>
          <w:szCs w:val="24"/>
        </w:rPr>
        <w:t xml:space="preserve">W związku z powyższym, zasadnym wydaje się, aby katalog „podmiotów o charakterze korporacyjnym i innych podmiotów prawnym” obowiązanych do otrzymywania i posiadania informacji o beneficjantach rzeczywistych obejmował tylko te podmioty, których konstrukcja pozwala na ukrycie tożsamości osób fizycznych faktycznie wywierających decydujący wpływ na działania podejmowane przez takie podmioty i w stosunku do których zidentyfikowano ryzyko wykorzystania tych podmiotów w celu ukrycia tożsamości przestępców uczestniczących w procederze prania pieniędzy. </w:t>
      </w:r>
    </w:p>
    <w:p w14:paraId="2BFED74D" w14:textId="77777777" w:rsidR="00C12B11" w:rsidRPr="006563D0" w:rsidRDefault="00C12B11" w:rsidP="006563D0">
      <w:pPr>
        <w:spacing w:line="340" w:lineRule="atLeast"/>
        <w:rPr>
          <w:rFonts w:cs="Times New Roman"/>
          <w:szCs w:val="24"/>
        </w:rPr>
      </w:pPr>
      <w:r w:rsidRPr="006563D0">
        <w:rPr>
          <w:rFonts w:cs="Times New Roman"/>
          <w:szCs w:val="24"/>
        </w:rPr>
        <w:t xml:space="preserve">Ograniczenie zakresu podmiotowego pojęcia „podmioty o charakterze korporacyjnym i inne podmioty prawne” w stosunku do jego szerokiej, językowej wykładni koresponduje również z fundamentalną dla prawa europejskiego zasadą proporcjonalności.  </w:t>
      </w:r>
    </w:p>
    <w:p w14:paraId="6A96742B" w14:textId="3A94093B" w:rsidR="00C12B11" w:rsidRPr="006563D0" w:rsidRDefault="00C12B11" w:rsidP="006563D0">
      <w:pPr>
        <w:spacing w:line="340" w:lineRule="atLeast"/>
        <w:rPr>
          <w:rFonts w:cs="Times New Roman"/>
          <w:szCs w:val="24"/>
        </w:rPr>
      </w:pPr>
      <w:r w:rsidRPr="006563D0">
        <w:rPr>
          <w:rFonts w:cs="Times New Roman"/>
          <w:szCs w:val="24"/>
        </w:rPr>
        <w:t xml:space="preserve">Reasumując, wydaje się, iż niezależnie od zakresu i wzajemnej relacji elementów o charakterze korporacyjnym i osobowym w poszczególnych typach spółek zarówno spółki osobowe, jak i spółki kapitałowe mieszczą się w zakresie pojęcia „podmiotów o charakterze korporacyjnym”. Ponadto, z praktyki Generalnego Inspektora wynika, że spółki stanowią również podmioty powszechnie wykorzystywane przez przestępców do legalizacji środków pochodzących z działalności o charakterze przestępczym. Jednakże, nie każdy typ spółki znany prawu polskiemu w tym samym stopniu narażony jest na wykorzystanie w przestępczym procederze. W związku z powyższym proponuje się wyłączenie spod obowiązku otrzymywania i posiadania odpowiednich, dokładnych i aktualnych informacji o beneficjentach rzeczywistych spółek partnerskich oraz spółek akcyjnych w rozumieniu </w:t>
      </w:r>
      <w:r w:rsidRPr="006563D0">
        <w:rPr>
          <w:rFonts w:cs="Times New Roman"/>
          <w:szCs w:val="24"/>
        </w:rPr>
        <w:lastRenderedPageBreak/>
        <w:t xml:space="preserve">przepisów </w:t>
      </w:r>
      <w:r w:rsidRPr="006563D0">
        <w:rPr>
          <w:rFonts w:cs="Times New Roman"/>
          <w:i/>
          <w:szCs w:val="24"/>
        </w:rPr>
        <w:t xml:space="preserve">ustawy </w:t>
      </w:r>
      <w:r w:rsidR="002D4959" w:rsidRPr="006563D0">
        <w:rPr>
          <w:rFonts w:cs="Times New Roman"/>
          <w:i/>
          <w:szCs w:val="24"/>
        </w:rPr>
        <w:t>z dnia 29 lipca 2005 r.</w:t>
      </w:r>
      <w:r w:rsidRPr="006563D0">
        <w:rPr>
          <w:rFonts w:cs="Times New Roman"/>
          <w:i/>
          <w:szCs w:val="24"/>
        </w:rPr>
        <w:t>o ofercie publicznej i warunkach wprowadzania instrumentów finansowych do zorganizowanego systemu obrotu oraz o spółkach publicznych</w:t>
      </w:r>
      <w:r w:rsidR="002D4959" w:rsidRPr="006563D0">
        <w:rPr>
          <w:rFonts w:cs="Times New Roman"/>
          <w:i/>
          <w:szCs w:val="24"/>
        </w:rPr>
        <w:t xml:space="preserve"> </w:t>
      </w:r>
      <w:r w:rsidR="002D4959" w:rsidRPr="006563D0">
        <w:rPr>
          <w:rFonts w:cs="Times New Roman"/>
          <w:szCs w:val="24"/>
        </w:rPr>
        <w:t>(Dz. U. z 2013 r., poz. 1382, z późn. zm.</w:t>
      </w:r>
      <w:r w:rsidR="002D4959" w:rsidRPr="006563D0">
        <w:rPr>
          <w:rFonts w:cs="Times New Roman"/>
          <w:i/>
          <w:szCs w:val="24"/>
        </w:rPr>
        <w:t>)</w:t>
      </w:r>
      <w:r w:rsidRPr="006563D0">
        <w:rPr>
          <w:rFonts w:cs="Times New Roman"/>
          <w:szCs w:val="24"/>
        </w:rPr>
        <w:t xml:space="preserve">. W odniesieniu do spółek partnerskich ich wyłączenie spod dysponowania informacjami o beneficjentach rzeczywistych motywowane jest specyficznym przeznaczeniem spółki partnerskiej, jako podmiotu utworzonego przez wspólników w celu wykonywania wolnego zawodu, zasad uzyskania uprawnień pozwalających na wykonywanie tych zawodów oraz zasad odpowiedzialności za zobowiązania związane z wykonywaniem wolnego zawodu przez poszczególnych partnerów. Wyłączenie spod obowiązku otrzymywania i posiadania odpowiednich informacji o beneficjantach rzeczywistych w przypadku spółek akcyjnych w rozumieniu przepisów o ofercie publicznej i warunkach wprowadzania instrumentów finansowych do zorganizowanego systemu obrotu oraz o spółkach publicznych uzasadnione jest odrębnie określonymi obowiązkami o charakterze informacyjnym, jak i znaczną fluktuacją akcjonariatu spółek publicznych. </w:t>
      </w:r>
    </w:p>
    <w:p w14:paraId="28F3959A" w14:textId="5C32EB8E" w:rsidR="00C12B11" w:rsidRPr="006563D0" w:rsidRDefault="00C12B11" w:rsidP="006563D0">
      <w:pPr>
        <w:spacing w:line="340" w:lineRule="atLeast"/>
        <w:rPr>
          <w:rFonts w:cs="Times New Roman"/>
          <w:szCs w:val="24"/>
        </w:rPr>
      </w:pPr>
      <w:r w:rsidRPr="006563D0">
        <w:rPr>
          <w:rFonts w:cs="Times New Roman"/>
          <w:szCs w:val="24"/>
        </w:rPr>
        <w:t xml:space="preserve">Ponadto, na podstawie analizy informacji o rodzajach podmiotach objętych postępowaniami analitycznymi prowadzonymi przez Generalnego Inspektora uznano, że obowiązkiem dysponowania informacjami o uzyskanych w toku postępowań analitycznych objęte powinny być również fundacje i stowarzyszenia, tym samym włączające je do zawartego w art. </w:t>
      </w:r>
      <w:r w:rsidR="00E34583" w:rsidRPr="006563D0">
        <w:rPr>
          <w:rFonts w:cs="Times New Roman"/>
          <w:szCs w:val="24"/>
        </w:rPr>
        <w:t xml:space="preserve">55 </w:t>
      </w:r>
      <w:r w:rsidRPr="006563D0">
        <w:rPr>
          <w:rFonts w:cs="Times New Roman"/>
          <w:szCs w:val="24"/>
        </w:rPr>
        <w:t xml:space="preserve">katalogu podmiotów objętych przedmiotowych obowiązkiem.  </w:t>
      </w:r>
    </w:p>
    <w:p w14:paraId="23BEF1B7" w14:textId="28839F99" w:rsidR="00C12B11" w:rsidRPr="006563D0" w:rsidRDefault="00C12B11" w:rsidP="006563D0">
      <w:pPr>
        <w:spacing w:line="340" w:lineRule="atLeast"/>
        <w:rPr>
          <w:rFonts w:cs="Times New Roman"/>
          <w:szCs w:val="24"/>
        </w:rPr>
      </w:pPr>
      <w:r w:rsidRPr="006563D0">
        <w:rPr>
          <w:rFonts w:cs="Times New Roman"/>
          <w:szCs w:val="24"/>
        </w:rPr>
        <w:t xml:space="preserve">Realizacja wymogów wynikających z art. 30 ust. 3 Dyrektywy 2015/849 nastąpi poprzez ustanowienie systemu teleinformatycznego Centralnego Rejestru Beneficjentów Rzeczywistych zwanego dalej „Rejestrem”. Organem właściwym w sprawach Rejestru będzie minister właściwy do spraw finansów publicznych. Tym samym, zdecydowano się nie korzystać z przykładu zawartego w art. 30 ust. 3 Dyrektywy 2015/849, wskazującego rejestry handlowe lub rejestry spółek państw członkowskich, jako lokalizację rejestru informacji o beneficjentach rzeczywistych. </w:t>
      </w:r>
    </w:p>
    <w:p w14:paraId="38416D04" w14:textId="431C4033" w:rsidR="00543014" w:rsidRDefault="00C12B11" w:rsidP="006563D0">
      <w:pPr>
        <w:spacing w:line="340" w:lineRule="atLeast"/>
        <w:rPr>
          <w:rFonts w:cs="Times New Roman"/>
          <w:szCs w:val="24"/>
        </w:rPr>
      </w:pPr>
      <w:r w:rsidRPr="006563D0">
        <w:rPr>
          <w:rFonts w:cs="Times New Roman"/>
          <w:szCs w:val="24"/>
        </w:rPr>
        <w:t xml:space="preserve">Art. </w:t>
      </w:r>
      <w:r w:rsidR="00E34583" w:rsidRPr="006563D0">
        <w:rPr>
          <w:rFonts w:cs="Times New Roman"/>
          <w:szCs w:val="24"/>
        </w:rPr>
        <w:t>5</w:t>
      </w:r>
      <w:r w:rsidR="00F53AC6">
        <w:rPr>
          <w:rFonts w:cs="Times New Roman"/>
          <w:szCs w:val="24"/>
        </w:rPr>
        <w:t>5</w:t>
      </w:r>
      <w:r w:rsidR="00E34583" w:rsidRPr="006657A5">
        <w:rPr>
          <w:rFonts w:cs="Times New Roman"/>
          <w:szCs w:val="24"/>
        </w:rPr>
        <w:t xml:space="preserve"> </w:t>
      </w:r>
      <w:r w:rsidRPr="009F192D">
        <w:rPr>
          <w:rFonts w:cs="Times New Roman"/>
          <w:szCs w:val="24"/>
        </w:rPr>
        <w:t xml:space="preserve">i </w:t>
      </w:r>
      <w:r w:rsidR="00E34583" w:rsidRPr="002E495D">
        <w:rPr>
          <w:rFonts w:cs="Times New Roman"/>
          <w:szCs w:val="24"/>
        </w:rPr>
        <w:t>5</w:t>
      </w:r>
      <w:r w:rsidR="00F53AC6">
        <w:rPr>
          <w:rFonts w:cs="Times New Roman"/>
          <w:szCs w:val="24"/>
        </w:rPr>
        <w:t>6</w:t>
      </w:r>
      <w:r w:rsidRPr="006657A5">
        <w:rPr>
          <w:rFonts w:cs="Times New Roman"/>
          <w:szCs w:val="24"/>
        </w:rPr>
        <w:t xml:space="preserve"> projektu ustawy określają odpowied</w:t>
      </w:r>
      <w:r w:rsidRPr="009F192D">
        <w:rPr>
          <w:rFonts w:cs="Times New Roman"/>
          <w:szCs w:val="24"/>
        </w:rPr>
        <w:t xml:space="preserve">nio zakres danych objętych zgłoszeniem do rejestru oraz termin do ich zgłoszenia. Art. </w:t>
      </w:r>
      <w:r w:rsidR="00E34583" w:rsidRPr="002E495D">
        <w:rPr>
          <w:rFonts w:cs="Times New Roman"/>
          <w:szCs w:val="24"/>
        </w:rPr>
        <w:t>5</w:t>
      </w:r>
      <w:r w:rsidR="00F53AC6">
        <w:rPr>
          <w:rFonts w:cs="Times New Roman"/>
          <w:szCs w:val="24"/>
        </w:rPr>
        <w:t>7</w:t>
      </w:r>
      <w:r w:rsidR="00E34583" w:rsidRPr="006657A5">
        <w:rPr>
          <w:rFonts w:cs="Times New Roman"/>
          <w:szCs w:val="24"/>
        </w:rPr>
        <w:t xml:space="preserve"> </w:t>
      </w:r>
      <w:r w:rsidRPr="009F192D">
        <w:rPr>
          <w:rFonts w:cs="Times New Roman"/>
          <w:szCs w:val="24"/>
        </w:rPr>
        <w:t>wskazuje osoby odpowiedzialne za dokonanie oraz określa tryb dokonania zgłoszenia. W celu zapewnienia, aby dane gromadzone w Rejestrze były odpowiednie, dokładne</w:t>
      </w:r>
      <w:r w:rsidRPr="00207355">
        <w:rPr>
          <w:rFonts w:cs="Times New Roman"/>
          <w:szCs w:val="24"/>
        </w:rPr>
        <w:t xml:space="preserve"> i aktualne zgłoszenie danych do Rejestru następuje pod rygorem odpowiedzialności karnej za składanie fałszywych zeznań </w:t>
      </w:r>
      <w:r w:rsidR="00F53AC6">
        <w:rPr>
          <w:rFonts w:cs="Times New Roman"/>
          <w:szCs w:val="24"/>
        </w:rPr>
        <w:t xml:space="preserve">- </w:t>
      </w:r>
      <w:r w:rsidRPr="006657A5">
        <w:rPr>
          <w:rFonts w:cs="Times New Roman"/>
          <w:szCs w:val="24"/>
        </w:rPr>
        <w:t xml:space="preserve">art. </w:t>
      </w:r>
      <w:r w:rsidR="00E34583" w:rsidRPr="00207355">
        <w:rPr>
          <w:rFonts w:cs="Times New Roman"/>
          <w:szCs w:val="24"/>
        </w:rPr>
        <w:t>5</w:t>
      </w:r>
      <w:r w:rsidR="00F53AC6">
        <w:rPr>
          <w:rFonts w:cs="Times New Roman"/>
          <w:szCs w:val="24"/>
        </w:rPr>
        <w:t>7</w:t>
      </w:r>
      <w:r w:rsidR="00E34583" w:rsidRPr="006657A5">
        <w:rPr>
          <w:rFonts w:cs="Times New Roman"/>
          <w:szCs w:val="24"/>
        </w:rPr>
        <w:t xml:space="preserve"> </w:t>
      </w:r>
      <w:r w:rsidRPr="009F192D">
        <w:rPr>
          <w:rFonts w:cs="Times New Roman"/>
          <w:szCs w:val="24"/>
        </w:rPr>
        <w:t>ust. 3</w:t>
      </w:r>
      <w:r w:rsidRPr="002E495D">
        <w:rPr>
          <w:rFonts w:cs="Times New Roman"/>
          <w:szCs w:val="24"/>
        </w:rPr>
        <w:t xml:space="preserve">. Art. </w:t>
      </w:r>
      <w:r w:rsidR="00E34583" w:rsidRPr="006563D0">
        <w:rPr>
          <w:rFonts w:cs="Times New Roman"/>
          <w:szCs w:val="24"/>
        </w:rPr>
        <w:t>5</w:t>
      </w:r>
      <w:r w:rsidR="00F53AC6">
        <w:rPr>
          <w:rFonts w:cs="Times New Roman"/>
          <w:szCs w:val="24"/>
        </w:rPr>
        <w:t>8</w:t>
      </w:r>
      <w:r w:rsidR="00E34583" w:rsidRPr="006657A5">
        <w:rPr>
          <w:rFonts w:cs="Times New Roman"/>
          <w:szCs w:val="24"/>
        </w:rPr>
        <w:t xml:space="preserve"> </w:t>
      </w:r>
      <w:r w:rsidRPr="009F192D">
        <w:rPr>
          <w:rFonts w:cs="Times New Roman"/>
          <w:szCs w:val="24"/>
        </w:rPr>
        <w:t xml:space="preserve">oraz </w:t>
      </w:r>
      <w:r w:rsidR="00E34583" w:rsidRPr="002E495D">
        <w:rPr>
          <w:rFonts w:cs="Times New Roman"/>
          <w:szCs w:val="24"/>
        </w:rPr>
        <w:t>6</w:t>
      </w:r>
      <w:r w:rsidR="00F53AC6">
        <w:rPr>
          <w:rFonts w:cs="Times New Roman"/>
          <w:szCs w:val="24"/>
        </w:rPr>
        <w:t>7</w:t>
      </w:r>
      <w:r w:rsidR="00E34583" w:rsidRPr="006657A5">
        <w:rPr>
          <w:rFonts w:cs="Times New Roman"/>
          <w:szCs w:val="24"/>
        </w:rPr>
        <w:t xml:space="preserve"> </w:t>
      </w:r>
      <w:r w:rsidRPr="009F192D">
        <w:rPr>
          <w:rFonts w:cs="Times New Roman"/>
          <w:szCs w:val="24"/>
        </w:rPr>
        <w:t xml:space="preserve">zawierają upoważnienia ustawowe dla ministra właściwego ds. finansów publicznych do określenia w formie rozporządzeń szczegółowych wymogów związanych ze zgłaszaniem danych do Rejestru oraz z ich udostępnianiem.  Zgodnie z art. </w:t>
      </w:r>
      <w:r w:rsidR="00E34583" w:rsidRPr="002E495D">
        <w:rPr>
          <w:rFonts w:cs="Times New Roman"/>
          <w:szCs w:val="24"/>
        </w:rPr>
        <w:t>6</w:t>
      </w:r>
      <w:r w:rsidR="00F53AC6">
        <w:rPr>
          <w:rFonts w:cs="Times New Roman"/>
          <w:szCs w:val="24"/>
        </w:rPr>
        <w:t>4</w:t>
      </w:r>
      <w:r w:rsidR="00E34583" w:rsidRPr="006657A5">
        <w:rPr>
          <w:rFonts w:cs="Times New Roman"/>
          <w:szCs w:val="24"/>
        </w:rPr>
        <w:t xml:space="preserve"> </w:t>
      </w:r>
      <w:r w:rsidRPr="009F192D">
        <w:rPr>
          <w:rFonts w:cs="Times New Roman"/>
          <w:szCs w:val="24"/>
        </w:rPr>
        <w:t>Rejestr jest jawny, a</w:t>
      </w:r>
      <w:r w:rsidRPr="00207355">
        <w:rPr>
          <w:rFonts w:cs="Times New Roman"/>
          <w:szCs w:val="24"/>
        </w:rPr>
        <w:t xml:space="preserve"> udostępnianie informacji zgormadzonych w rejestrze nieodpłatne.</w:t>
      </w:r>
    </w:p>
    <w:p w14:paraId="7827B4E2" w14:textId="77777777" w:rsidR="002E495D" w:rsidRPr="002E495D" w:rsidRDefault="002E495D" w:rsidP="002E495D">
      <w:pPr>
        <w:spacing w:before="0" w:after="200" w:line="340" w:lineRule="atLeast"/>
        <w:rPr>
          <w:rFonts w:cs="Times New Roman"/>
          <w:szCs w:val="24"/>
        </w:rPr>
      </w:pPr>
      <w:r w:rsidRPr="002E495D">
        <w:rPr>
          <w:rFonts w:cs="Times New Roman"/>
          <w:szCs w:val="24"/>
        </w:rPr>
        <w:t xml:space="preserve">Przepisy Rozdziału 7 projektu ustawy określają zasady gromadzenia informacji przez Generalnego Inspektora. W art. 68 wskazano transakcje, w odniesieniu, do  których  na instytucji obowiązanej ciąży obowiązek informacyjny wobec Generalnego Inspektora. Są to tzw. „transakcje ponadprogowe”, czyli transakcje raportowane wyłącznie ze względu na ich </w:t>
      </w:r>
      <w:r w:rsidRPr="002E495D">
        <w:rPr>
          <w:rFonts w:cs="Times New Roman"/>
          <w:szCs w:val="24"/>
        </w:rPr>
        <w:lastRenderedPageBreak/>
        <w:t xml:space="preserve">wartość, bez konieczności stwierdzenia elementu podejrzalności. Obowiązek gromadzenia informacji o „transakcjach ponadprogowych” nie wynika z przepisów Dyrektywy 2015/849, niemniej tego typu informacje, w różnym zakresie gromadzone są przez JAF szeregu państw członkowskich, a sama Dyrektywa 2015/849 w motywie 37 preambuły wyraźnie dopuszcza tego typu możliwość. Proponowany zakres przedmiotowy uwzględnia również doświadczenia Generalnego Inspektora w przetwarzaniu informacji o „transakcjach ponadprogowych” gromadzonych na podstawie obecnej ustawy, z których wynika, że nie wszystkie z tych informacji odznaczają się równym stopniem użyteczności. </w:t>
      </w:r>
    </w:p>
    <w:p w14:paraId="265333C5" w14:textId="77777777" w:rsidR="002E495D" w:rsidRPr="002E495D" w:rsidRDefault="002E495D" w:rsidP="002E495D">
      <w:pPr>
        <w:spacing w:before="0" w:after="200" w:line="340" w:lineRule="atLeast"/>
        <w:rPr>
          <w:rFonts w:cs="Times New Roman"/>
          <w:szCs w:val="24"/>
        </w:rPr>
      </w:pPr>
      <w:r w:rsidRPr="002E495D">
        <w:rPr>
          <w:rFonts w:cs="Times New Roman"/>
          <w:szCs w:val="24"/>
        </w:rPr>
        <w:t>W związku z powyższym zdecydowano się na ograniczeniu zakresu informacji o „transakcjach ponadprogowych” pozyskiwanych przez Generalnego Inspektora. Celem proponowanych rozwiązań jest pozostawienie Generalnemu Inspektorowi możliwości śledzenia przepływów środków pieniężnych, zgodnie z podstawową zasadą prowadzenia finansowych postępowań analitycznych (ang.: „</w:t>
      </w:r>
      <w:r w:rsidRPr="002E495D">
        <w:rPr>
          <w:rFonts w:cs="Times New Roman"/>
          <w:i/>
          <w:szCs w:val="24"/>
        </w:rPr>
        <w:t>follow the money</w:t>
      </w:r>
      <w:r w:rsidRPr="002E495D">
        <w:rPr>
          <w:rFonts w:cs="Times New Roman"/>
          <w:szCs w:val="24"/>
        </w:rPr>
        <w:t xml:space="preserve">”), bez konieczności każdorazowego zwracania się o informacje do instytucji obowiązanych. Jak wynika, bowiem z praktyki Generalnego Inspektora informacje o „transakcjach ponadprogowych” są podstawowym źródłem informacji wykorzystywanym nie tylko w poszczególnych postępowaniach analitycznych, ale również na potrzeby prowadzenia analiz o charakterze strategicznym. </w:t>
      </w:r>
    </w:p>
    <w:p w14:paraId="60F5D52C" w14:textId="77777777" w:rsidR="002E495D" w:rsidRPr="002E495D" w:rsidRDefault="002E495D" w:rsidP="002E495D">
      <w:pPr>
        <w:spacing w:before="0" w:after="200" w:line="340" w:lineRule="atLeast"/>
        <w:rPr>
          <w:rFonts w:cs="Times New Roman"/>
          <w:szCs w:val="24"/>
        </w:rPr>
      </w:pPr>
      <w:r w:rsidRPr="002E495D">
        <w:rPr>
          <w:rFonts w:cs="Times New Roman"/>
          <w:szCs w:val="24"/>
        </w:rPr>
        <w:t>W art. 68 ust. 1 określono stosunkowo niski, na poziomie 15 tys. zł próg dotyczący podlegających raportowaniu transakcji gotówkowych. Informacje te pozwolą na pozyskanie wiedzy o środkach wpływających oraz wycofywanych z systemu finansowego. Art. 68 ust. 2-4 wskazuje transakcje bezgotówkowe, głownie transferów środków pieniężnych, które pozwolą na identyfikację przepływów wartości majątkowych wewnątrz systemu finansowego. Przedmiotowe ograniczenie podlegających raportowaniu „transakcji ponadprogowych” przyczyni się do ograniczenia obowiązków informacyjnych tych instytucji obowiązanych, które bezpośrednio nie wykonują wskazanych w przepisach „transakcji ponadprogowych”. Rozwiązanie to koresponduje z sygnałami pochodzącymi od organizacji zrzeszających instytucje obowiązane, które wielokrotnie wskazywały, że na gruncie obecnie obowiązujących przepisów jedno zdarzenie gospodarcze może być źródłem obowiązku rejestracji transakcji, dla kilku instytucji obowiązanych.</w:t>
      </w:r>
    </w:p>
    <w:p w14:paraId="51FFD333" w14:textId="77777777" w:rsidR="002E495D" w:rsidRPr="002E495D" w:rsidRDefault="002E495D" w:rsidP="002E495D">
      <w:pPr>
        <w:spacing w:before="0" w:after="200" w:line="340" w:lineRule="atLeast"/>
        <w:rPr>
          <w:rFonts w:cs="Times New Roman"/>
          <w:szCs w:val="24"/>
        </w:rPr>
      </w:pPr>
      <w:r w:rsidRPr="002E495D">
        <w:rPr>
          <w:rFonts w:cs="Times New Roman"/>
          <w:szCs w:val="24"/>
        </w:rPr>
        <w:t>Art. 68 ust. 5 adresowany do notariuszy, wyszczególnia kategorie transakcji</w:t>
      </w:r>
      <w:r w:rsidRPr="002E495D">
        <w:rPr>
          <w:rFonts w:asciiTheme="minorHAnsi" w:hAnsiTheme="minorHAnsi"/>
          <w:sz w:val="22"/>
        </w:rPr>
        <w:t xml:space="preserve"> </w:t>
      </w:r>
      <w:r w:rsidRPr="002E495D">
        <w:rPr>
          <w:rFonts w:cs="Times New Roman"/>
          <w:szCs w:val="24"/>
        </w:rPr>
        <w:t xml:space="preserve">dokonanych w formie aktu notarialnego, których analiza dostarcza informacji użytecznych na potrzeby prowadzonych postępowań analitycznych. Katalog tych transakcji został ograniczony w stosunku do analogicznych obowiązków wynikających z obecnie obowiązujących przepisów. </w:t>
      </w:r>
    </w:p>
    <w:p w14:paraId="5E5619AD" w14:textId="77777777" w:rsidR="002E495D" w:rsidRPr="002E495D" w:rsidRDefault="002E495D" w:rsidP="002E495D">
      <w:pPr>
        <w:spacing w:before="0" w:after="200" w:line="340" w:lineRule="atLeast"/>
        <w:rPr>
          <w:rFonts w:cs="Times New Roman"/>
          <w:szCs w:val="24"/>
        </w:rPr>
      </w:pPr>
      <w:r w:rsidRPr="002E495D">
        <w:rPr>
          <w:rFonts w:cs="Times New Roman"/>
          <w:szCs w:val="24"/>
        </w:rPr>
        <w:t xml:space="preserve">Art. 69 statuuje obowiązek przekazania Generalnemu Inspektorowi informacji o powziętym podejrzeniu popełnienia przestępstwa prania pieniędzy lub finansowania terroryzmu. Przepis przewiduje odejście od konieczności wystąpienia transakcji, której okoliczności wskazują, że może ona mieć związek z praniem pieniędzy lub finansowaniem terroryzmu  - tzw. </w:t>
      </w:r>
      <w:r w:rsidRPr="002E495D">
        <w:rPr>
          <w:rFonts w:cs="Times New Roman"/>
          <w:szCs w:val="24"/>
        </w:rPr>
        <w:lastRenderedPageBreak/>
        <w:t>„transakcji podejrzanej”, jako przesłanki koniecznej do materializacji obowiązku raportowania (ang.: „</w:t>
      </w:r>
      <w:r w:rsidRPr="002E495D">
        <w:rPr>
          <w:rFonts w:cs="Times New Roman"/>
          <w:i/>
          <w:szCs w:val="24"/>
        </w:rPr>
        <w:t>suspicious transaction report</w:t>
      </w:r>
      <w:r w:rsidRPr="002E495D">
        <w:rPr>
          <w:rFonts w:cs="Times New Roman"/>
          <w:szCs w:val="24"/>
        </w:rPr>
        <w:t>”). Zgłoszeniu podlega samo podejrzenie</w:t>
      </w:r>
      <w:r w:rsidRPr="002E495D">
        <w:rPr>
          <w:rFonts w:asciiTheme="minorHAnsi" w:hAnsiTheme="minorHAnsi"/>
          <w:sz w:val="22"/>
        </w:rPr>
        <w:t xml:space="preserve"> </w:t>
      </w:r>
      <w:r w:rsidRPr="002E495D">
        <w:rPr>
          <w:rFonts w:cs="Times New Roman"/>
          <w:szCs w:val="24"/>
        </w:rPr>
        <w:t>popełnienia przestępstwa prania pieniędzy lub finansowania terroryzmu, które niekoniecznie musi mieć związek z konkretną transakcją (ang.: „</w:t>
      </w:r>
      <w:r w:rsidRPr="002E495D">
        <w:rPr>
          <w:rFonts w:cs="Times New Roman"/>
          <w:i/>
          <w:szCs w:val="24"/>
        </w:rPr>
        <w:t>suspicious activity report</w:t>
      </w:r>
      <w:r w:rsidRPr="002E495D">
        <w:rPr>
          <w:rFonts w:cs="Times New Roman"/>
          <w:szCs w:val="24"/>
        </w:rPr>
        <w:t xml:space="preserve">”). Przyjęte rozwiązanie wydaje się sankcjonować obecnie stosowaną praktykę instytucji obowiązanych w zakresie przekazywania tzw. „zawiadomień opisowych”,  a także uwzględniać zalecenia formułowane pod adresem polskiego systemu przeciwdziałania praniu pieniędzy oraz finansowania terroryzmu w toku jego ewaluacji prowadzonych przez Komitet Moneyval. </w:t>
      </w:r>
    </w:p>
    <w:p w14:paraId="40FFF2D1" w14:textId="43301B9C" w:rsidR="00543014" w:rsidRPr="005942A4" w:rsidRDefault="002E495D" w:rsidP="006563D0">
      <w:pPr>
        <w:spacing w:line="340" w:lineRule="atLeast"/>
        <w:rPr>
          <w:rFonts w:cs="Times New Roman"/>
          <w:szCs w:val="24"/>
        </w:rPr>
      </w:pPr>
      <w:r w:rsidRPr="002E495D">
        <w:rPr>
          <w:rFonts w:cs="Times New Roman"/>
          <w:szCs w:val="24"/>
        </w:rPr>
        <w:t xml:space="preserve">Art. 72 tworzy podstawę prawną dla Generalnego Inspektora do kierowania do instytucji obwiązanych żądań przekazania informacji niezbędnych mu do realizacji jego zadań.  Przepis transponuje do projektu zapis art. 33 ust. 1 lit. b Dyrektywy 2015/849 oraz stanowi odpowiednik art. 13a ustawy o p.p.p.f.t. W art. 72 ust. 2 zawarto uprawnienie dla Generalnego Inspektora do zażądania prowadzenia przez instytucję obwiązaną monitoringu wskazanych stosunków gospodarczych lub transakcji okazjonalnych. Przyznanie Generalnemu Inspektorowi tego rodzaju uprawnienia koresponduje z zaleceniami organizacji międzynarodowych, a także pozwoli na zwiększenie efektywności prowadzonych postępowań analitycznych. Art. 74 wprowadza do projektu ustawy wymogi wynikające z art. 61 Dyrektywy 2015/849 w zakresie tzw. „whistleblowing-u”.  Art. 75 stanowi odpowiednik art. 14 ust. 2 ustawy o p.p.p.f.t. i nakłada na prokuratorów obowiązek poinformowania Generalnego Inspektora o wydania określonych postanowień lub dokonani czynności w sprawach o przestępstwo prania pieniędzy lub finansowania terroryzmu. Uzyskanie tego typu informacji pozwoli na Generalnemu Inspektorowi na dokonanie przeglądu posiadanych danych i przekazanie prokuratorowi informacji mogących mieć znaczenie dla prowadzonego postępowania. Art. 76 ustanawia podstawę prawną dla Generalnego Inspektora do pozyskiwania od jednostek współpracujących informacji koniecznych do realizacji jego zadań. W art. 76 ust. 2 i 3 przewidziano możliwość zawarcia przez Generalnego Inspektora porozumienia z daną jednostką współpracującą, na mocy którego uprawniony byłby on uprawniony do pozyskiwania informacji w drodze teletransmisji. Art. 77 nakłada na jednostki współpracujące obowiązek przekazywania Generalnemu Inspektorowi powiadomień, w przypadku powzięcia podejrzeń popełnienia przestępstwa prania pieniędzy lub finansowania terroryzmu. </w:t>
      </w:r>
    </w:p>
    <w:p w14:paraId="5A88401E" w14:textId="43E853FE" w:rsidR="00F679AD" w:rsidRPr="002E495D" w:rsidRDefault="00F679AD" w:rsidP="006563D0">
      <w:pPr>
        <w:spacing w:line="340" w:lineRule="atLeast"/>
        <w:rPr>
          <w:rFonts w:cs="Times New Roman"/>
          <w:szCs w:val="24"/>
        </w:rPr>
      </w:pPr>
      <w:r w:rsidRPr="005942A4">
        <w:rPr>
          <w:rFonts w:cs="Times New Roman"/>
          <w:szCs w:val="24"/>
        </w:rPr>
        <w:t xml:space="preserve">Przepisy rozdziału 8 projektu </w:t>
      </w:r>
      <w:r w:rsidR="00F53AC6">
        <w:rPr>
          <w:rFonts w:cs="Times New Roman"/>
          <w:szCs w:val="24"/>
        </w:rPr>
        <w:t xml:space="preserve">ustawy </w:t>
      </w:r>
      <w:r w:rsidRPr="00207355">
        <w:rPr>
          <w:rFonts w:cs="Times New Roman"/>
          <w:szCs w:val="24"/>
        </w:rPr>
        <w:t xml:space="preserve">regulują procedurę wstrzymania transakcji oraz blokady rachunku. Obecnie przepisy regulujące te </w:t>
      </w:r>
      <w:r w:rsidRPr="002E495D">
        <w:rPr>
          <w:rFonts w:cs="Times New Roman"/>
          <w:szCs w:val="24"/>
        </w:rPr>
        <w:t>zagadnienie zawarte są w Rozdziale 5 ustawy</w:t>
      </w:r>
      <w:r w:rsidRPr="00257A48">
        <w:rPr>
          <w:rFonts w:cs="Times New Roman"/>
          <w:szCs w:val="24"/>
        </w:rPr>
        <w:t xml:space="preserve"> </w:t>
      </w:r>
      <w:r w:rsidR="00F53AC6">
        <w:rPr>
          <w:rFonts w:cs="Times New Roman"/>
          <w:szCs w:val="24"/>
        </w:rPr>
        <w:t xml:space="preserve"> o p.p.p.f.t</w:t>
      </w:r>
      <w:r w:rsidRPr="00207355">
        <w:rPr>
          <w:rFonts w:cs="Times New Roman"/>
          <w:szCs w:val="24"/>
        </w:rPr>
        <w:t xml:space="preserve">. </w:t>
      </w:r>
    </w:p>
    <w:p w14:paraId="38109CDC" w14:textId="42EB0499" w:rsidR="00F679AD" w:rsidRPr="006563D0" w:rsidRDefault="00F679AD" w:rsidP="006563D0">
      <w:pPr>
        <w:spacing w:line="340" w:lineRule="atLeast"/>
        <w:rPr>
          <w:rFonts w:cs="Times New Roman"/>
          <w:szCs w:val="24"/>
        </w:rPr>
      </w:pPr>
      <w:r w:rsidRPr="00257A48">
        <w:rPr>
          <w:rFonts w:cs="Times New Roman"/>
          <w:szCs w:val="24"/>
        </w:rPr>
        <w:t>Blokada rachunku lub wstrzymanie transakcji przeprowadzane jest w formie postanowienia wydawanego przez prokuratora. Ze względu na konieczność zapewnienia właściwego poziomu ochrony, określonego w Konstytucji prawa własności wydanie przez prokuratora posta</w:t>
      </w:r>
      <w:r w:rsidRPr="006563D0">
        <w:rPr>
          <w:rFonts w:cs="Times New Roman"/>
          <w:szCs w:val="24"/>
        </w:rPr>
        <w:t xml:space="preserve">nowienia o blokadzie rachunku lub wstrzymaniu transakcji implikuje wszczęcie postępowania karnego, a co za tym idzie uruchomienie przepisów dotyczących gwarancji </w:t>
      </w:r>
      <w:r w:rsidRPr="006563D0">
        <w:rPr>
          <w:rFonts w:cs="Times New Roman"/>
          <w:szCs w:val="24"/>
        </w:rPr>
        <w:lastRenderedPageBreak/>
        <w:t xml:space="preserve">ochrony praw stron takiego postępowania oraz podlega kontroli sądowej. Postępowania karne prowadzone w sprawach o przestępstwa prania pieniędzy, finansowania odznaczają się wysokim stopniem skomplikowania. Uzasadnionym jest wydłużenie terminu dla prokuratora do wydania postanowienia o zabezpieczeniu majątkowym do 6 miesięcy, jak i terminu do podjęcia decyzji w sprawie blokady rachunku lub wstrzymania transakcji do 96 godzin.  </w:t>
      </w:r>
    </w:p>
    <w:p w14:paraId="705E7537" w14:textId="51BB51E7" w:rsidR="00F679AD" w:rsidRPr="006563D0" w:rsidRDefault="00F679AD" w:rsidP="006563D0">
      <w:pPr>
        <w:spacing w:line="340" w:lineRule="atLeast"/>
        <w:rPr>
          <w:rFonts w:cs="Times New Roman"/>
          <w:szCs w:val="24"/>
        </w:rPr>
      </w:pPr>
      <w:r w:rsidRPr="006563D0">
        <w:rPr>
          <w:rFonts w:cs="Times New Roman"/>
          <w:szCs w:val="24"/>
        </w:rPr>
        <w:t xml:space="preserve">W związku z faktem, że Generalny Inspektor pełni funkcję jednostki analityki finansowej, a co za tym idzie jest organem wyspecjalizowanym w przeciwdziałaniu przede wszystkim dwóm określonym typom przestępstw tj. przestępstwu prania pieniędzy oraz finansowania terroryzmu procedura wstrzymania transakcji lub blokady rachunku  w przypadku powzięcia przez instytucję obowiązaną lub Generalnego Inspektora uzasadnionego podejrzenia jednego z tych dwóch przestępstw przeprowadzana jest przy aktywnym udziale Generalnego Inspektora. Natomiast w przypadku powzięcia przez instytucję obowiązaną uzasadnionego podejrzenia innego typu przestępstwa lub przestępstwa skarbowego organem uprawnionym do podjęcia czynności związanych z wstrzymaniem transakcji lub blokada rachunku jest właściwy miejscowo oraz rzeczowo prokurator. </w:t>
      </w:r>
    </w:p>
    <w:p w14:paraId="361316E4" w14:textId="1A41E74F" w:rsidR="00543014" w:rsidRDefault="00F679AD" w:rsidP="006563D0">
      <w:pPr>
        <w:spacing w:line="340" w:lineRule="atLeast"/>
        <w:rPr>
          <w:rFonts w:cs="Times New Roman"/>
          <w:szCs w:val="24"/>
        </w:rPr>
      </w:pPr>
      <w:r w:rsidRPr="006563D0">
        <w:rPr>
          <w:rFonts w:cs="Times New Roman"/>
          <w:szCs w:val="24"/>
        </w:rPr>
        <w:t>W celu zapewnienia efektu synergii i stworzenia możliwości wykorzystania informacji będących w dyspozycji Generalnego Inspektora również na potrzeby postepowań innych niż prowadzonych w sprawach o przestępstwa prania pieniędzy, finansowania terroryzmu na instytucje obwiązane nałożono obowiązek przekazania Generalnemu Inspektorowi kopii zawiadomienia oraz kopii postanowień wydanych przez prokuratora. Analiza tych materiałów pozwoli na przegląd informacji posiadanych przez Generalnego Inspektora, które mogą mieć znaczenia dla postępowania prowadzonego w sprawie i poinformowanie o nich lub przekazanie ich prokuratorowi prowadzącemu postępowanie.</w:t>
      </w:r>
    </w:p>
    <w:p w14:paraId="1DBAF5AA" w14:textId="3FCD5160" w:rsidR="00266763" w:rsidRPr="00266763" w:rsidRDefault="00266763" w:rsidP="00266763">
      <w:pPr>
        <w:spacing w:line="340" w:lineRule="atLeast"/>
        <w:rPr>
          <w:rFonts w:cs="Times New Roman"/>
          <w:szCs w:val="24"/>
        </w:rPr>
      </w:pPr>
      <w:r w:rsidRPr="00266763">
        <w:rPr>
          <w:rFonts w:cs="Times New Roman"/>
          <w:szCs w:val="24"/>
        </w:rPr>
        <w:t>Projekt przewiduje cztery modele przebiegu procedury blokady rachunku lub wstrzymania transakcji.</w:t>
      </w:r>
      <w:r>
        <w:rPr>
          <w:rFonts w:cs="Times New Roman"/>
          <w:szCs w:val="24"/>
        </w:rPr>
        <w:t xml:space="preserve"> Art. 81</w:t>
      </w:r>
      <w:r w:rsidRPr="00266763">
        <w:rPr>
          <w:rFonts w:cs="Times New Roman"/>
          <w:szCs w:val="24"/>
        </w:rPr>
        <w:t xml:space="preserve"> projektu stanowi odpowiednik obecnego art. 16 ustawy o p.p.p.f.t. i reguluje procedurę wstrzymania transakcji w wyniku zawiadomienia instytucji obowiązanej o powzięciu uzasadnionego podejrzenia, że transakcja ta lub wartości majątkowe nią objęte mają związek z popełnieniem przestępstwa prania pieniędzy lub finansowania terroryzmu. </w:t>
      </w:r>
    </w:p>
    <w:p w14:paraId="286F2EE9" w14:textId="65C4888B" w:rsidR="00266763" w:rsidRPr="00266763" w:rsidRDefault="00266763" w:rsidP="00266763">
      <w:pPr>
        <w:spacing w:line="340" w:lineRule="atLeast"/>
        <w:rPr>
          <w:rFonts w:cs="Times New Roman"/>
          <w:szCs w:val="24"/>
        </w:rPr>
      </w:pPr>
      <w:r>
        <w:rPr>
          <w:rFonts w:cs="Times New Roman"/>
          <w:szCs w:val="24"/>
        </w:rPr>
        <w:t>Art. 82</w:t>
      </w:r>
      <w:r w:rsidRPr="00266763">
        <w:rPr>
          <w:rFonts w:cs="Times New Roman"/>
          <w:szCs w:val="24"/>
        </w:rPr>
        <w:t xml:space="preserve"> projektu określa procedurę blokady rachunku lub wstrzymania transakcji bez uprzedniego przekazania zawiadomienia przez instytucje obowiązaną. Przedmiotowe ograniczenie powziętych podejrzeń wyłącznie do tych dotyczących przestępstwa prania pieniędzy lub finansowania terroryzmu jest konsekwencją </w:t>
      </w:r>
      <w:r w:rsidR="0090199D">
        <w:rPr>
          <w:rFonts w:cs="Times New Roman"/>
          <w:szCs w:val="24"/>
        </w:rPr>
        <w:t xml:space="preserve">ww. </w:t>
      </w:r>
      <w:r w:rsidRPr="00266763">
        <w:rPr>
          <w:rFonts w:cs="Times New Roman"/>
          <w:szCs w:val="24"/>
        </w:rPr>
        <w:t>wyspecjalizowania Generalnego Inspektora, jako polskiej jednostki analityki finansowej w przeciwdziałaniu dwóm wymienionych w przepisie typom przestępstw.</w:t>
      </w:r>
    </w:p>
    <w:p w14:paraId="4C67644E" w14:textId="0D74EBDF" w:rsidR="00266763" w:rsidRPr="00266763" w:rsidRDefault="00266763" w:rsidP="00266763">
      <w:pPr>
        <w:spacing w:line="340" w:lineRule="atLeast"/>
        <w:rPr>
          <w:rFonts w:cs="Times New Roman"/>
          <w:szCs w:val="24"/>
        </w:rPr>
      </w:pPr>
      <w:r>
        <w:rPr>
          <w:rFonts w:cs="Times New Roman"/>
          <w:szCs w:val="24"/>
        </w:rPr>
        <w:t>W art. 83</w:t>
      </w:r>
      <w:r w:rsidRPr="00266763">
        <w:rPr>
          <w:rFonts w:cs="Times New Roman"/>
          <w:szCs w:val="24"/>
        </w:rPr>
        <w:t xml:space="preserve"> określono procedurę blokady rachunku lub wstrzymania transakcji w przypadku powzięcia przez instytucję obowiązaną uzasadnionego podejrzenia, że działalność instytucji obowiązanej jest wykorzystywana w celu ukrycia działań przestępczych lub dla celów mających związek z przestępstwem lub przestępstwem skarbowym innym niż przestępstwo prania pieniędzy,  lub  finansowania terroryzmu. Generalny Inspektor w ramach tej procedery </w:t>
      </w:r>
      <w:r w:rsidRPr="00266763">
        <w:rPr>
          <w:rFonts w:cs="Times New Roman"/>
          <w:szCs w:val="24"/>
        </w:rPr>
        <w:lastRenderedPageBreak/>
        <w:t>nie podejmuje aktywnie działań, a jedynie otrzymuje informacje, o których mowa w ust. 7. Przepis ten wzorowany jest na art. 106 ustawy pr. bank</w:t>
      </w:r>
      <w:r w:rsidR="000024C6">
        <w:rPr>
          <w:rFonts w:cs="Times New Roman"/>
          <w:szCs w:val="24"/>
        </w:rPr>
        <w:t>.</w:t>
      </w:r>
      <w:r w:rsidRPr="00266763">
        <w:rPr>
          <w:rFonts w:cs="Times New Roman"/>
          <w:szCs w:val="24"/>
        </w:rPr>
        <w:t xml:space="preserve"> i również stanowi konsekwencję ww. specjalizacji Generalnego Inspektora w przeciwdziałaniu określonym typom przestępstw. Obowiązek przekazania informacji, o których mowa w ust. 7 Generalnemu Inspektorowi służy wypełnieniu wymogów wynikających z art. 33 Dyrektywy 2015/849, a także umożliwia Generalnemu Inspektorowi podjęcie działań analitycznych w celu ewentualnego zaistnienia podejrzenia popełnienia tzw. „przestępstwa bazowego” dla przestępstwa prania pieniędzy.</w:t>
      </w:r>
    </w:p>
    <w:p w14:paraId="357FDF00" w14:textId="785D494B" w:rsidR="00266763" w:rsidRPr="00266763" w:rsidRDefault="00266763" w:rsidP="00266763">
      <w:pPr>
        <w:spacing w:line="340" w:lineRule="atLeast"/>
        <w:rPr>
          <w:rFonts w:cs="Times New Roman"/>
          <w:szCs w:val="24"/>
        </w:rPr>
      </w:pPr>
      <w:r>
        <w:rPr>
          <w:rFonts w:cs="Times New Roman"/>
          <w:szCs w:val="24"/>
        </w:rPr>
        <w:t>W art. 84, analogicznie do art. 82</w:t>
      </w:r>
      <w:r w:rsidRPr="00266763">
        <w:rPr>
          <w:rFonts w:cs="Times New Roman"/>
          <w:szCs w:val="24"/>
        </w:rPr>
        <w:t xml:space="preserve"> przewidziano procedurę blokady rachunku lub wstrzymania transakcji na podstawie żądania prokuratora przedłożonego z własnej inicjatywy, bez uprzedniego otrzymania zawiadomienia przekazanego przez instytucje obowiązaną.</w:t>
      </w:r>
    </w:p>
    <w:p w14:paraId="1E50E16C" w14:textId="059AD49A" w:rsidR="00266763" w:rsidRPr="005942A4" w:rsidRDefault="00266763" w:rsidP="006563D0">
      <w:pPr>
        <w:spacing w:line="340" w:lineRule="atLeast"/>
        <w:rPr>
          <w:rFonts w:cs="Times New Roman"/>
          <w:szCs w:val="24"/>
        </w:rPr>
      </w:pPr>
      <w:r w:rsidRPr="00266763">
        <w:rPr>
          <w:rFonts w:cs="Times New Roman"/>
          <w:szCs w:val="24"/>
        </w:rPr>
        <w:t>Proponowany kształt przepisów uwzględnia niemal piętnastoletnie doświadczenie Generalnego Inspektora w praktycznym stosowaniu procedury wstrzymania transakcji lub blokady rachunku, z którego wynika, że procedury wstrzymania transakcji lub blokady przeprowadzane z własnej inicjatywy charakteryzują się znacznie wyższą efektywnością w porównaniu do procedur wstrzymania transakcji lub blokady rachunku inicjowanych wskutek przekazania zawiadomienia przez instytucję obowiązaną. Potwierdzają to m.in. dane ze sprawozdania Generalnego Inspektora za rok 2015, z którego wynika, że z łącznej liczby 339 zablokowanych rachunków bankowych na, których zgromadzono 161,8 mln zł, 307 na, których zgromadzono 153,8 mln zł zostało zablokowane w wyniku procedury podjętej przez Generalnego Inspektora z własnej inicjatywy.</w:t>
      </w:r>
    </w:p>
    <w:p w14:paraId="554AC901" w14:textId="358C737A" w:rsidR="0090199D" w:rsidRDefault="00885ED2" w:rsidP="006563D0">
      <w:pPr>
        <w:spacing w:line="340" w:lineRule="atLeast"/>
        <w:rPr>
          <w:rFonts w:cs="Times New Roman"/>
          <w:szCs w:val="24"/>
        </w:rPr>
      </w:pPr>
      <w:r w:rsidRPr="005942A4">
        <w:rPr>
          <w:rFonts w:cs="Times New Roman"/>
          <w:szCs w:val="24"/>
        </w:rPr>
        <w:t xml:space="preserve">Przepisy Rozdziału 9 regulują zasady ochrony danych oraz zasady na jakich dane, którymi dysponuje Generalny Inspektor mogą być udostępnianie innym organom. Przepisy aktualnie normujące te kwestie zawarte są w Rozdziale 7 ustawy </w:t>
      </w:r>
      <w:r w:rsidR="000024C6">
        <w:rPr>
          <w:rFonts w:cs="Times New Roman"/>
          <w:szCs w:val="24"/>
        </w:rPr>
        <w:t>o</w:t>
      </w:r>
      <w:r w:rsidRPr="006657A5">
        <w:rPr>
          <w:rFonts w:cs="Times New Roman"/>
          <w:szCs w:val="24"/>
        </w:rPr>
        <w:t xml:space="preserve"> </w:t>
      </w:r>
      <w:r w:rsidR="0090199D" w:rsidRPr="0090199D">
        <w:rPr>
          <w:rFonts w:cs="Times New Roman"/>
          <w:szCs w:val="24"/>
        </w:rPr>
        <w:t xml:space="preserve">p.p.p.f.t. </w:t>
      </w:r>
    </w:p>
    <w:p w14:paraId="10157F4D" w14:textId="48A59E13" w:rsidR="00885ED2" w:rsidRPr="009F192D" w:rsidRDefault="00885ED2" w:rsidP="006563D0">
      <w:pPr>
        <w:spacing w:line="340" w:lineRule="atLeast"/>
        <w:rPr>
          <w:rFonts w:cs="Times New Roman"/>
          <w:szCs w:val="24"/>
        </w:rPr>
      </w:pPr>
      <w:r w:rsidRPr="00207355">
        <w:rPr>
          <w:rFonts w:cs="Times New Roman"/>
          <w:szCs w:val="24"/>
        </w:rPr>
        <w:t>Przepis art. 91 ust. 1 uzupełnia regulacje ustaw, określających zasady funkcjonowania poszczególnych rodzajów instytucji obowiązanych lub jednostek współpracujących, statuujących podstawy prawne do przekazywania informacji Generalnem</w:t>
      </w:r>
      <w:r w:rsidRPr="002E495D">
        <w:rPr>
          <w:rFonts w:cs="Times New Roman"/>
          <w:szCs w:val="24"/>
        </w:rPr>
        <w:t>u Inspektorowi. Na potrzeby wykonywania swoich zadań Generalny Inspektor jest uprawniony m.in. do przetwarzan</w:t>
      </w:r>
      <w:r w:rsidRPr="00257A48">
        <w:rPr>
          <w:rFonts w:cs="Times New Roman"/>
          <w:szCs w:val="24"/>
        </w:rPr>
        <w:t xml:space="preserve">ia informacji zawierających dane osobowe bez określonego w przepisach o ochronie danych osobowych obowiązku, informowania </w:t>
      </w:r>
      <w:r w:rsidRPr="006563D0">
        <w:rPr>
          <w:rFonts w:cs="Times New Roman"/>
          <w:szCs w:val="24"/>
        </w:rPr>
        <w:t xml:space="preserve">o tym fakcie osoby, której przetwarzane dotyczą. Rozwiązanie to podyktowane jest koniecznością zapewnienia skuteczności </w:t>
      </w:r>
      <w:r w:rsidR="0090199D">
        <w:rPr>
          <w:rFonts w:cs="Times New Roman"/>
          <w:szCs w:val="24"/>
        </w:rPr>
        <w:t xml:space="preserve">zwalczania </w:t>
      </w:r>
      <w:r w:rsidRPr="006657A5">
        <w:rPr>
          <w:rFonts w:cs="Times New Roman"/>
          <w:szCs w:val="24"/>
        </w:rPr>
        <w:t>proceder</w:t>
      </w:r>
      <w:r w:rsidR="0090199D">
        <w:rPr>
          <w:rFonts w:cs="Times New Roman"/>
          <w:szCs w:val="24"/>
        </w:rPr>
        <w:t>u</w:t>
      </w:r>
      <w:r w:rsidRPr="006657A5">
        <w:rPr>
          <w:rFonts w:cs="Times New Roman"/>
          <w:szCs w:val="24"/>
        </w:rPr>
        <w:t xml:space="preserve"> prania pieniędzy oraz finansowania terroryzmu, a ponadto pozostaje w zgodzie z zapisami motywy 46 preambuły Dyrektywy  2015/849.</w:t>
      </w:r>
    </w:p>
    <w:p w14:paraId="23C16552" w14:textId="19461997" w:rsidR="00885ED2" w:rsidRPr="00207355" w:rsidRDefault="00885ED2" w:rsidP="006563D0">
      <w:pPr>
        <w:spacing w:line="340" w:lineRule="atLeast"/>
        <w:rPr>
          <w:rFonts w:cs="Times New Roman"/>
          <w:szCs w:val="24"/>
        </w:rPr>
      </w:pPr>
      <w:r w:rsidRPr="00207355">
        <w:rPr>
          <w:rFonts w:cs="Times New Roman"/>
          <w:szCs w:val="24"/>
        </w:rPr>
        <w:t xml:space="preserve">Ze </w:t>
      </w:r>
      <w:r w:rsidRPr="002E495D">
        <w:rPr>
          <w:rFonts w:cs="Times New Roman"/>
          <w:szCs w:val="24"/>
        </w:rPr>
        <w:t>względu na konieczność zapewnienia wysokiego poziomu ochrony informacji , zgodnie z art. 9</w:t>
      </w:r>
      <w:r w:rsidR="0090199D">
        <w:rPr>
          <w:rFonts w:cs="Times New Roman"/>
          <w:szCs w:val="24"/>
        </w:rPr>
        <w:t>0</w:t>
      </w:r>
      <w:r w:rsidRPr="006657A5">
        <w:rPr>
          <w:rFonts w:cs="Times New Roman"/>
          <w:szCs w:val="24"/>
        </w:rPr>
        <w:t xml:space="preserve"> ust. 1 wszystkie informacje gromadzone i udostępnianie przez Generalnego Inspektora objęte zostają tajemnicą informacji finansowej, a ich udostępnienie przez Generalnego Inspektora może nast</w:t>
      </w:r>
      <w:r w:rsidRPr="009F192D">
        <w:rPr>
          <w:rFonts w:cs="Times New Roman"/>
          <w:szCs w:val="24"/>
        </w:rPr>
        <w:t>ąpić wyłącznie w trybie określonym w ustawie. Zakres podmiotowy organów i osób na, których ciążący obowiązek zachowania tajemnicy informacji finansowej określają przepisy art. 9</w:t>
      </w:r>
      <w:r w:rsidR="0090199D">
        <w:rPr>
          <w:rFonts w:cs="Times New Roman"/>
          <w:szCs w:val="24"/>
        </w:rPr>
        <w:t>0</w:t>
      </w:r>
      <w:r w:rsidRPr="006657A5">
        <w:rPr>
          <w:rFonts w:cs="Times New Roman"/>
          <w:szCs w:val="24"/>
        </w:rPr>
        <w:t xml:space="preserve"> ust. 3-5. Dalsze udostępnienie informacji objętych tajemnicą informacji fina</w:t>
      </w:r>
      <w:r w:rsidRPr="009F192D">
        <w:rPr>
          <w:rFonts w:cs="Times New Roman"/>
          <w:szCs w:val="24"/>
        </w:rPr>
        <w:t xml:space="preserve">nsowej, przez organy i podmioty, które weszły w jej posiadanie jest </w:t>
      </w:r>
      <w:r w:rsidRPr="009F192D">
        <w:rPr>
          <w:rFonts w:cs="Times New Roman"/>
          <w:szCs w:val="24"/>
        </w:rPr>
        <w:lastRenderedPageBreak/>
        <w:t xml:space="preserve">dopuszczalne wyłącznie, jeżeli obowiązek taki wynika z odrębnych przepisów regulujących zasady funkcjonowania tych organów lub podmiotów. Objęcie gromadzonych i </w:t>
      </w:r>
      <w:r w:rsidRPr="00207355">
        <w:rPr>
          <w:rFonts w:cs="Times New Roman"/>
          <w:szCs w:val="24"/>
        </w:rPr>
        <w:t>udostępnianych przez Generalnego Inspektora informacji tajemnicy finansowej nie wyłącza, poza wyjątkami przewidzianymi w ustawie zasad ochrony tych informacji określonych w odrębnych przepisach. Zgodnie z art. 9</w:t>
      </w:r>
      <w:r w:rsidR="0090199D">
        <w:rPr>
          <w:rFonts w:cs="Times New Roman"/>
          <w:szCs w:val="24"/>
        </w:rPr>
        <w:t>1</w:t>
      </w:r>
      <w:r w:rsidRPr="006657A5">
        <w:rPr>
          <w:rFonts w:cs="Times New Roman"/>
          <w:szCs w:val="24"/>
        </w:rPr>
        <w:t xml:space="preserve"> Generalny Inspektor przetwarza posiadane informacje jedynie w okresie</w:t>
      </w:r>
      <w:r w:rsidRPr="009F192D">
        <w:rPr>
          <w:rFonts w:cs="Times New Roman"/>
          <w:szCs w:val="24"/>
        </w:rPr>
        <w:t>, w jakim jest to konieczne do realizacji jego ustawowo określonych zadań. Art. 9</w:t>
      </w:r>
      <w:r w:rsidR="0090199D">
        <w:rPr>
          <w:rFonts w:cs="Times New Roman"/>
          <w:szCs w:val="24"/>
        </w:rPr>
        <w:t>2</w:t>
      </w:r>
      <w:r w:rsidRPr="006657A5">
        <w:rPr>
          <w:rFonts w:cs="Times New Roman"/>
          <w:szCs w:val="24"/>
        </w:rPr>
        <w:t xml:space="preserve"> uzupełnia regulację art. 9</w:t>
      </w:r>
      <w:r w:rsidR="0090199D">
        <w:rPr>
          <w:rFonts w:cs="Times New Roman"/>
          <w:szCs w:val="24"/>
        </w:rPr>
        <w:t>0</w:t>
      </w:r>
      <w:r w:rsidRPr="006657A5">
        <w:rPr>
          <w:rFonts w:cs="Times New Roman"/>
          <w:szCs w:val="24"/>
        </w:rPr>
        <w:t xml:space="preserve"> oraz wprowadza to projektu ustawy zakaz ujawniani informacji, mający swoje źródło w art. 39 ust. 1 Dyrektywy 2015/849.  Celem wprowadzenia do p</w:t>
      </w:r>
      <w:r w:rsidRPr="009F192D">
        <w:rPr>
          <w:rFonts w:cs="Times New Roman"/>
          <w:szCs w:val="24"/>
        </w:rPr>
        <w:t>rojektu, przewidzianego w ust. 2 wyjątku jest umożliwienie organom uprawnionym do uzyskania informacji od Generalnego Inspektora koordynacji swoich działań poprzez dopuszczenie wymiany pomiędzy tymi organami, nie samych informacj</w:t>
      </w:r>
      <w:r w:rsidRPr="00207355">
        <w:rPr>
          <w:rFonts w:cs="Times New Roman"/>
          <w:szCs w:val="24"/>
        </w:rPr>
        <w:t>i uzyskanych od Generalnego Inspektora, ale wyłącznie informacji o fakcie takiego uzyskania. Art. 9</w:t>
      </w:r>
      <w:r w:rsidR="0090199D">
        <w:rPr>
          <w:rFonts w:cs="Times New Roman"/>
          <w:szCs w:val="24"/>
        </w:rPr>
        <w:t>3</w:t>
      </w:r>
      <w:r w:rsidRPr="006657A5">
        <w:rPr>
          <w:rFonts w:cs="Times New Roman"/>
          <w:szCs w:val="24"/>
        </w:rPr>
        <w:t xml:space="preserve"> ogranicza zakres podmiotów uprawnionych do uzyskania danych osobowych pracowników instytucji obowiązanych oraz organów informacji finansowych bezpośrednio wykonujących określone obowiązki i czynności związane z przeciwdziałaniem praniu pieniędzy oraz fina</w:t>
      </w:r>
      <w:r w:rsidRPr="009F192D">
        <w:rPr>
          <w:rFonts w:cs="Times New Roman"/>
          <w:szCs w:val="24"/>
        </w:rPr>
        <w:t>nsowaniem terroryzmu. Ograniczeni</w:t>
      </w:r>
      <w:r w:rsidRPr="00207355">
        <w:rPr>
          <w:rFonts w:cs="Times New Roman"/>
          <w:szCs w:val="24"/>
        </w:rPr>
        <w:t>e</w:t>
      </w:r>
      <w:r w:rsidRPr="002E495D">
        <w:rPr>
          <w:rFonts w:cs="Times New Roman"/>
          <w:szCs w:val="24"/>
        </w:rPr>
        <w:t xml:space="preserve"> takie wynika m.in. z zapisów art. 61 Dyrektywy 2015/849</w:t>
      </w:r>
      <w:r w:rsidRPr="00257A48">
        <w:rPr>
          <w:rFonts w:cs="Times New Roman"/>
          <w:szCs w:val="24"/>
        </w:rPr>
        <w:t>. Ponadto</w:t>
      </w:r>
      <w:r w:rsidR="0090199D">
        <w:rPr>
          <w:rFonts w:cs="Times New Roman"/>
          <w:szCs w:val="24"/>
        </w:rPr>
        <w:t xml:space="preserve">, </w:t>
      </w:r>
      <w:r w:rsidRPr="009F192D">
        <w:rPr>
          <w:rFonts w:cs="Times New Roman"/>
          <w:szCs w:val="24"/>
        </w:rPr>
        <w:t xml:space="preserve">jak wynika z </w:t>
      </w:r>
      <w:r w:rsidRPr="00207355">
        <w:rPr>
          <w:rFonts w:cs="Times New Roman"/>
          <w:szCs w:val="24"/>
        </w:rPr>
        <w:t>dotychczasowych doświadczeń zarówno instytucji obowiązanych, jak i organów informacji finansowej</w:t>
      </w:r>
      <w:r w:rsidR="0090199D">
        <w:rPr>
          <w:rFonts w:cs="Times New Roman"/>
          <w:szCs w:val="24"/>
        </w:rPr>
        <w:t xml:space="preserve"> </w:t>
      </w:r>
      <w:r w:rsidRPr="009F192D">
        <w:rPr>
          <w:rFonts w:cs="Times New Roman"/>
          <w:szCs w:val="24"/>
        </w:rPr>
        <w:t>osoby takie spotkały się z groźbami karalnymi lub działaniami mogącymi wywoływać uzasadnione obawy, co do ich bezpieczeństwa.</w:t>
      </w:r>
    </w:p>
    <w:p w14:paraId="4D58C50B" w14:textId="315073AC" w:rsidR="00885ED2" w:rsidRPr="006563D0" w:rsidRDefault="00885ED2" w:rsidP="006563D0">
      <w:pPr>
        <w:spacing w:line="340" w:lineRule="atLeast"/>
        <w:rPr>
          <w:rFonts w:cs="Times New Roman"/>
          <w:szCs w:val="24"/>
        </w:rPr>
      </w:pPr>
      <w:r w:rsidRPr="002E495D">
        <w:rPr>
          <w:rFonts w:cs="Times New Roman"/>
          <w:szCs w:val="24"/>
        </w:rPr>
        <w:t>Art. 9</w:t>
      </w:r>
      <w:r w:rsidR="00B37859">
        <w:rPr>
          <w:rFonts w:cs="Times New Roman"/>
          <w:szCs w:val="24"/>
        </w:rPr>
        <w:t>4</w:t>
      </w:r>
      <w:r w:rsidRPr="006657A5">
        <w:rPr>
          <w:rFonts w:cs="Times New Roman"/>
          <w:szCs w:val="24"/>
        </w:rPr>
        <w:t xml:space="preserve"> stanowi podstawę prawną dla Generalnego Inspektora do realizacji jego podstawowego zadania, tj. przekazywania prokuratorom zawi</w:t>
      </w:r>
      <w:r w:rsidRPr="009F192D">
        <w:rPr>
          <w:rFonts w:cs="Times New Roman"/>
          <w:szCs w:val="24"/>
        </w:rPr>
        <w:t>adomień o powzięciu uzasadnionego podejrzenia popełnienia przestępstwa, do przeciwdziałania, któremu właściwy jest Generalny Inspektor, czyli przestęp</w:t>
      </w:r>
      <w:r w:rsidRPr="00207355">
        <w:rPr>
          <w:rFonts w:cs="Times New Roman"/>
          <w:szCs w:val="24"/>
        </w:rPr>
        <w:t>stwa prania pieniędzy, finansowania terroryzmu lub przestępstwa skarbowego polegającego na uszczupleniu lub narażeniu na uszczuplenie należności publicznoprawnej dużej wartości. Ust. 2 reguluje zasady udzielenia przez Generalnego Inspektora tzw. „informacj</w:t>
      </w:r>
      <w:r w:rsidRPr="002E495D">
        <w:rPr>
          <w:rFonts w:cs="Times New Roman"/>
          <w:szCs w:val="24"/>
        </w:rPr>
        <w:t>i zwrotnej” instytucjom obow</w:t>
      </w:r>
      <w:r w:rsidRPr="00257A48">
        <w:rPr>
          <w:rFonts w:cs="Times New Roman"/>
          <w:szCs w:val="24"/>
        </w:rPr>
        <w:t>iązanym lub jednostkom współpracującym.</w:t>
      </w:r>
    </w:p>
    <w:p w14:paraId="618C110F" w14:textId="333BEE51" w:rsidR="00885ED2" w:rsidRPr="002E495D" w:rsidRDefault="00885ED2" w:rsidP="006563D0">
      <w:pPr>
        <w:spacing w:line="340" w:lineRule="atLeast"/>
        <w:rPr>
          <w:rFonts w:cs="Times New Roman"/>
          <w:szCs w:val="24"/>
        </w:rPr>
      </w:pPr>
      <w:r w:rsidRPr="006563D0">
        <w:rPr>
          <w:rFonts w:cs="Times New Roman"/>
          <w:szCs w:val="24"/>
        </w:rPr>
        <w:t>Przepisy art. 9</w:t>
      </w:r>
      <w:r w:rsidR="000024C6">
        <w:rPr>
          <w:rFonts w:cs="Times New Roman"/>
          <w:szCs w:val="24"/>
        </w:rPr>
        <w:t>5</w:t>
      </w:r>
      <w:r w:rsidRPr="006657A5">
        <w:rPr>
          <w:rFonts w:cs="Times New Roman"/>
          <w:szCs w:val="24"/>
        </w:rPr>
        <w:t xml:space="preserve"> i 9</w:t>
      </w:r>
      <w:r w:rsidR="000024C6">
        <w:rPr>
          <w:rFonts w:cs="Times New Roman"/>
          <w:szCs w:val="24"/>
        </w:rPr>
        <w:t>6</w:t>
      </w:r>
      <w:r w:rsidRPr="006657A5">
        <w:rPr>
          <w:rFonts w:cs="Times New Roman"/>
          <w:szCs w:val="24"/>
        </w:rPr>
        <w:t xml:space="preserve"> regulują zasady udostępniania przez Generalnego Inspektora informacji uprawnionym organom lub podmiotom. Zgodnie z art. 9</w:t>
      </w:r>
      <w:r w:rsidR="000024C6">
        <w:rPr>
          <w:rFonts w:cs="Times New Roman"/>
          <w:szCs w:val="24"/>
        </w:rPr>
        <w:t>5</w:t>
      </w:r>
      <w:r w:rsidRPr="006657A5">
        <w:rPr>
          <w:rFonts w:cs="Times New Roman"/>
          <w:szCs w:val="24"/>
        </w:rPr>
        <w:t xml:space="preserve"> ust. 3 w przypadku, gdy Generalny Inspektor nie dysponuje informacjami wnioskowanymi przez prokuratora w celu  sprawdzenia danych z</w:t>
      </w:r>
      <w:r w:rsidRPr="009F192D">
        <w:rPr>
          <w:rFonts w:cs="Times New Roman"/>
          <w:szCs w:val="24"/>
        </w:rPr>
        <w:t>awartych w zawiadomieniu o podejrzeniu popełnienia przestępstwa prania pieniędzy, finansowania terroryzmu lub przestępstwa skarbowego polegającego na uszczupleniu lu</w:t>
      </w:r>
      <w:r w:rsidRPr="00207355">
        <w:rPr>
          <w:rFonts w:cs="Times New Roman"/>
          <w:szCs w:val="24"/>
        </w:rPr>
        <w:t xml:space="preserve">b narażeniu na uszczuplenie należności publicznoprawnej dużej wartości, Generalny Inspektor uzyskuje te informacje na wniosek prokuratora. </w:t>
      </w:r>
    </w:p>
    <w:p w14:paraId="55775306" w14:textId="24D59537" w:rsidR="00885ED2" w:rsidRPr="002E495D" w:rsidRDefault="00885ED2" w:rsidP="006563D0">
      <w:pPr>
        <w:spacing w:line="340" w:lineRule="atLeast"/>
        <w:rPr>
          <w:rFonts w:cs="Times New Roman"/>
          <w:szCs w:val="24"/>
        </w:rPr>
      </w:pPr>
      <w:r w:rsidRPr="00257A48">
        <w:rPr>
          <w:rFonts w:cs="Times New Roman"/>
          <w:szCs w:val="24"/>
        </w:rPr>
        <w:t>W art. 9</w:t>
      </w:r>
      <w:r w:rsidR="000024C6">
        <w:rPr>
          <w:rFonts w:cs="Times New Roman"/>
          <w:szCs w:val="24"/>
        </w:rPr>
        <w:t>6</w:t>
      </w:r>
      <w:r w:rsidRPr="006657A5">
        <w:rPr>
          <w:rFonts w:cs="Times New Roman"/>
          <w:szCs w:val="24"/>
        </w:rPr>
        <w:t xml:space="preserve"> ust. 1, stanowiącym odpowiednik art. 33 ustawy o </w:t>
      </w:r>
      <w:r w:rsidR="000024C6" w:rsidRPr="000024C6">
        <w:rPr>
          <w:rFonts w:cs="Times New Roman"/>
          <w:szCs w:val="24"/>
        </w:rPr>
        <w:t xml:space="preserve">p.p.p.f.t. </w:t>
      </w:r>
      <w:r w:rsidRPr="009F192D">
        <w:rPr>
          <w:rFonts w:cs="Times New Roman"/>
          <w:szCs w:val="24"/>
        </w:rPr>
        <w:t xml:space="preserve">wskazano organy, które w zakresie wyznaczonym ich ustawowymi zadaniami oraz potrzebami skutecznego zapobieżenia przestępstwom lub przestępstwom skarbowym lub wykryciu albo ustaleniu sprawców i ustaleniu dowodów. Ust. 3 </w:t>
      </w:r>
      <w:r w:rsidRPr="00257A48">
        <w:rPr>
          <w:rFonts w:cs="Times New Roman"/>
          <w:szCs w:val="24"/>
        </w:rPr>
        <w:t>wskaz</w:t>
      </w:r>
      <w:r w:rsidR="000024C6">
        <w:rPr>
          <w:rFonts w:cs="Times New Roman"/>
          <w:szCs w:val="24"/>
        </w:rPr>
        <w:t>ano</w:t>
      </w:r>
      <w:r w:rsidRPr="009F192D">
        <w:rPr>
          <w:rFonts w:cs="Times New Roman"/>
          <w:szCs w:val="24"/>
        </w:rPr>
        <w:t xml:space="preserve"> organy Krajowej </w:t>
      </w:r>
      <w:r w:rsidRPr="00207355">
        <w:rPr>
          <w:rFonts w:cs="Times New Roman"/>
          <w:szCs w:val="24"/>
        </w:rPr>
        <w:t>Administracji Skarbowej, którym Generalny Inspektor udostępniania posiadane informacje.</w:t>
      </w:r>
    </w:p>
    <w:p w14:paraId="5DB90091" w14:textId="6C128265" w:rsidR="00885ED2" w:rsidRPr="00207355" w:rsidRDefault="00885ED2" w:rsidP="006563D0">
      <w:pPr>
        <w:spacing w:line="340" w:lineRule="atLeast"/>
        <w:rPr>
          <w:rFonts w:cs="Times New Roman"/>
          <w:szCs w:val="24"/>
        </w:rPr>
      </w:pPr>
      <w:r w:rsidRPr="00257A48">
        <w:rPr>
          <w:rFonts w:cs="Times New Roman"/>
          <w:szCs w:val="24"/>
        </w:rPr>
        <w:lastRenderedPageBreak/>
        <w:t>Zgodnie z art. 9</w:t>
      </w:r>
      <w:r w:rsidR="009617CE">
        <w:rPr>
          <w:rFonts w:cs="Times New Roman"/>
          <w:szCs w:val="24"/>
        </w:rPr>
        <w:t>7</w:t>
      </w:r>
      <w:r w:rsidRPr="006657A5">
        <w:rPr>
          <w:rFonts w:cs="Times New Roman"/>
          <w:szCs w:val="24"/>
        </w:rPr>
        <w:t xml:space="preserve"> Generalny Inspektor w przypadku powzięcia podejrzenia popełniania przestępstwa, innego niż przestępstwa prania pieniędzy, finansowania terroryzmu </w:t>
      </w:r>
      <w:r w:rsidRPr="00257A48">
        <w:rPr>
          <w:rFonts w:cs="Times New Roman"/>
          <w:szCs w:val="24"/>
        </w:rPr>
        <w:t>może przekazać jednemu z organów wskazanych w art. 9</w:t>
      </w:r>
      <w:r w:rsidR="009617CE">
        <w:rPr>
          <w:rFonts w:cs="Times New Roman"/>
          <w:szCs w:val="24"/>
        </w:rPr>
        <w:t>6</w:t>
      </w:r>
      <w:r w:rsidRPr="006657A5">
        <w:rPr>
          <w:rFonts w:cs="Times New Roman"/>
          <w:szCs w:val="24"/>
        </w:rPr>
        <w:t xml:space="preserve"> ust. 1 lub 3 powiadomienie w celu podjęcia czynności wynikających z ich</w:t>
      </w:r>
      <w:r w:rsidRPr="009F192D">
        <w:rPr>
          <w:rFonts w:cs="Times New Roman"/>
          <w:szCs w:val="24"/>
        </w:rPr>
        <w:t xml:space="preserve"> us</w:t>
      </w:r>
      <w:r w:rsidRPr="00207355">
        <w:rPr>
          <w:rFonts w:cs="Times New Roman"/>
          <w:szCs w:val="24"/>
        </w:rPr>
        <w:t>tawowych zadań. Przepis ten stanowi konsekwencję ograniczenia właściwości Generalnego Inspektora do przeci</w:t>
      </w:r>
      <w:r w:rsidRPr="002E495D">
        <w:rPr>
          <w:rFonts w:cs="Times New Roman"/>
          <w:szCs w:val="24"/>
        </w:rPr>
        <w:t xml:space="preserve">wdziałania określonym typom przestępstw, tj. przestępstwu prania pieniędzy, finansowania terroryzmu oraz przestępstwom skarbowym polegającym na uszczupleniu lub narażeniu na uszczuplenie należności publicznoprawnej dużej wartości. W przypadku, gdy analiza </w:t>
      </w:r>
      <w:r w:rsidRPr="00257A48">
        <w:rPr>
          <w:rFonts w:cs="Times New Roman"/>
          <w:szCs w:val="24"/>
        </w:rPr>
        <w:t xml:space="preserve">posiadanych informacji nie wskazuje na podejrzenie popełnienia innego przestępstwa Generalny Inspektor w formie powiadomienia informuje właściwy organ. Art. </w:t>
      </w:r>
      <w:r w:rsidR="009617CE">
        <w:rPr>
          <w:rFonts w:cs="Times New Roman"/>
          <w:szCs w:val="24"/>
        </w:rPr>
        <w:t>98</w:t>
      </w:r>
      <w:r w:rsidRPr="006657A5">
        <w:rPr>
          <w:rFonts w:cs="Times New Roman"/>
          <w:szCs w:val="24"/>
        </w:rPr>
        <w:t xml:space="preserve"> określa zakres informacji zwrotnej, którą Generalny Inspektor powinien otrzymać od prokuratorów, którym przekazał zawiadomienia o podejrzeniu popełnienia przestępstwa. Uzyskanie przez Generalnego Inspektora informacji zwrotnej stanowi ważny</w:t>
      </w:r>
      <w:r w:rsidRPr="009F192D">
        <w:rPr>
          <w:rFonts w:cs="Times New Roman"/>
          <w:szCs w:val="24"/>
        </w:rPr>
        <w:t xml:space="preserve"> czynnik pozwalający na zapewnienie odpowiedniej efektywności realizowanych zadań.</w:t>
      </w:r>
    </w:p>
    <w:p w14:paraId="1D57B064" w14:textId="21496DB8" w:rsidR="00885ED2" w:rsidRPr="002E495D" w:rsidRDefault="00885ED2" w:rsidP="006563D0">
      <w:pPr>
        <w:spacing w:line="340" w:lineRule="atLeast"/>
        <w:rPr>
          <w:rFonts w:cs="Times New Roman"/>
          <w:szCs w:val="24"/>
        </w:rPr>
      </w:pPr>
      <w:r w:rsidRPr="00207355">
        <w:rPr>
          <w:rFonts w:cs="Times New Roman"/>
          <w:szCs w:val="24"/>
        </w:rPr>
        <w:t>Przepisy art. 10</w:t>
      </w:r>
      <w:r w:rsidR="009617CE">
        <w:rPr>
          <w:rFonts w:cs="Times New Roman"/>
          <w:szCs w:val="24"/>
        </w:rPr>
        <w:t>1</w:t>
      </w:r>
      <w:r w:rsidRPr="006657A5">
        <w:rPr>
          <w:rFonts w:cs="Times New Roman"/>
          <w:szCs w:val="24"/>
        </w:rPr>
        <w:t xml:space="preserve"> i kolejne wprowadzają do projektu ustawy wymogi dotyczące współpracy pomiędzy jednostkami analityki finansowej </w:t>
      </w:r>
      <w:r w:rsidRPr="00207355">
        <w:rPr>
          <w:rFonts w:cs="Times New Roman"/>
          <w:szCs w:val="24"/>
        </w:rPr>
        <w:t>określone w Podsekcji III Sekcji 3 Rozdziału VI Dyrektywy 2015/849.</w:t>
      </w:r>
    </w:p>
    <w:p w14:paraId="4816AD84" w14:textId="55ABC4A5" w:rsidR="00885ED2" w:rsidRPr="00207355" w:rsidRDefault="00885ED2" w:rsidP="006563D0">
      <w:pPr>
        <w:spacing w:line="340" w:lineRule="atLeast"/>
        <w:rPr>
          <w:rFonts w:cs="Times New Roman"/>
          <w:szCs w:val="24"/>
        </w:rPr>
      </w:pPr>
      <w:r w:rsidRPr="00257A48">
        <w:rPr>
          <w:rFonts w:cs="Times New Roman"/>
          <w:szCs w:val="24"/>
        </w:rPr>
        <w:t>Art. 10</w:t>
      </w:r>
      <w:r w:rsidR="009617CE">
        <w:rPr>
          <w:rFonts w:cs="Times New Roman"/>
          <w:szCs w:val="24"/>
        </w:rPr>
        <w:t>1</w:t>
      </w:r>
      <w:r w:rsidRPr="006657A5">
        <w:rPr>
          <w:rFonts w:cs="Times New Roman"/>
          <w:szCs w:val="24"/>
        </w:rPr>
        <w:t xml:space="preserve"> ust. 1 ustanawia ogólną podstawę prawną dla Generalnego Inspektora do dokonywania wymiany informacji ze swoimi zagranicznymi odpowiednikami.  Zgodnie z ust. 2 art. 10</w:t>
      </w:r>
      <w:r w:rsidR="009617CE">
        <w:rPr>
          <w:rFonts w:cs="Times New Roman"/>
          <w:szCs w:val="24"/>
        </w:rPr>
        <w:t>1</w:t>
      </w:r>
      <w:r w:rsidRPr="006657A5">
        <w:rPr>
          <w:rFonts w:cs="Times New Roman"/>
          <w:szCs w:val="24"/>
        </w:rPr>
        <w:t xml:space="preserve"> informacje udostępnianie przez </w:t>
      </w:r>
      <w:r w:rsidRPr="009F192D">
        <w:rPr>
          <w:rFonts w:cs="Times New Roman"/>
          <w:szCs w:val="24"/>
        </w:rPr>
        <w:t xml:space="preserve">Generalnego Inspektora zagranicznym jednostkom analityki finansowej mogą być wykorzystywane, z przewidzianymi w dalszych przepisach wyjątkami wyłącznie do celów realizacji zadań analitycznych realizowanych przez </w:t>
      </w:r>
      <w:r w:rsidR="009617CE">
        <w:rPr>
          <w:rFonts w:cs="Times New Roman"/>
          <w:szCs w:val="24"/>
        </w:rPr>
        <w:t>JAF</w:t>
      </w:r>
      <w:r w:rsidRPr="005942A4">
        <w:rPr>
          <w:rFonts w:cs="Times New Roman"/>
          <w:szCs w:val="24"/>
        </w:rPr>
        <w:t>.  Zasada ta ma swoje źródło w art.</w:t>
      </w:r>
      <w:r w:rsidRPr="006657A5">
        <w:rPr>
          <w:rFonts w:cs="Times New Roman"/>
          <w:szCs w:val="24"/>
        </w:rPr>
        <w:t xml:space="preserve"> 54</w:t>
      </w:r>
      <w:r w:rsidRPr="009F192D">
        <w:rPr>
          <w:rFonts w:cs="Times New Roman"/>
          <w:szCs w:val="24"/>
        </w:rPr>
        <w:t xml:space="preserve"> Dyrektywy 2015/849. Udostępnienie informacji przez Generalnego Inspektora następuje na wniosek zagranicznego </w:t>
      </w:r>
      <w:r w:rsidR="009617CE">
        <w:rPr>
          <w:rFonts w:cs="Times New Roman"/>
          <w:szCs w:val="24"/>
        </w:rPr>
        <w:t>JAF</w:t>
      </w:r>
      <w:r w:rsidRPr="005942A4">
        <w:rPr>
          <w:rFonts w:cs="Times New Roman"/>
          <w:szCs w:val="24"/>
        </w:rPr>
        <w:t xml:space="preserve"> lub z jego własnej inicjatywy. Tryb udostępnienia informacji z wlanej inicjatywy znajdzie zastosowanie szczególnie w przypadku otrzymani</w:t>
      </w:r>
      <w:r w:rsidRPr="006657A5">
        <w:rPr>
          <w:rFonts w:cs="Times New Roman"/>
          <w:szCs w:val="24"/>
        </w:rPr>
        <w:t>a p</w:t>
      </w:r>
      <w:r w:rsidRPr="009F192D">
        <w:rPr>
          <w:rFonts w:cs="Times New Roman"/>
          <w:szCs w:val="24"/>
        </w:rPr>
        <w:t>rzez Generalnego Inspektora informacje wskazujące na podejrzenie popełnienia przestępstwa prania pieniędzy lub finansowania terroryzmu dotyczą innego państwa członkowskiego UE.</w:t>
      </w:r>
    </w:p>
    <w:p w14:paraId="290B7BD8" w14:textId="5AD210D0" w:rsidR="00885ED2" w:rsidRPr="005942A4" w:rsidRDefault="00885ED2" w:rsidP="006563D0">
      <w:pPr>
        <w:spacing w:line="340" w:lineRule="atLeast"/>
        <w:rPr>
          <w:rFonts w:cs="Times New Roman"/>
          <w:szCs w:val="24"/>
        </w:rPr>
      </w:pPr>
      <w:r w:rsidRPr="002E495D">
        <w:rPr>
          <w:rFonts w:cs="Times New Roman"/>
          <w:szCs w:val="24"/>
        </w:rPr>
        <w:t>Zgodnie z art. 53  ust. 2 Dyrektywy 2015/849 Generalny Inspektor powinien być uprawniony do wykorzystania całej gamy swoich ustawowych</w:t>
      </w:r>
      <w:r w:rsidRPr="00257A48">
        <w:rPr>
          <w:rFonts w:cs="Times New Roman"/>
          <w:szCs w:val="24"/>
        </w:rPr>
        <w:t xml:space="preserve"> kompetencji </w:t>
      </w:r>
      <w:r w:rsidRPr="006563D0">
        <w:rPr>
          <w:rFonts w:cs="Times New Roman"/>
          <w:szCs w:val="24"/>
        </w:rPr>
        <w:t xml:space="preserve">w celu udostepnienia informacji na wniosek </w:t>
      </w:r>
      <w:r w:rsidR="009617CE">
        <w:rPr>
          <w:rFonts w:cs="Times New Roman"/>
          <w:szCs w:val="24"/>
        </w:rPr>
        <w:t>JAF</w:t>
      </w:r>
      <w:r w:rsidRPr="005942A4">
        <w:rPr>
          <w:rFonts w:cs="Times New Roman"/>
          <w:szCs w:val="24"/>
        </w:rPr>
        <w:t xml:space="preserve"> państwa członkowskiego UE. Wymóg ten znalazł odzwierciedlenie w art. 10</w:t>
      </w:r>
      <w:r w:rsidR="009617CE">
        <w:rPr>
          <w:rFonts w:cs="Times New Roman"/>
          <w:szCs w:val="24"/>
        </w:rPr>
        <w:t>2</w:t>
      </w:r>
      <w:r w:rsidRPr="006657A5">
        <w:rPr>
          <w:rFonts w:cs="Times New Roman"/>
          <w:szCs w:val="24"/>
        </w:rPr>
        <w:t xml:space="preserve"> ust 1 oraz art. 10</w:t>
      </w:r>
      <w:r w:rsidR="009617CE">
        <w:rPr>
          <w:rFonts w:cs="Times New Roman"/>
          <w:szCs w:val="24"/>
        </w:rPr>
        <w:t>2</w:t>
      </w:r>
      <w:r w:rsidRPr="006657A5">
        <w:rPr>
          <w:rFonts w:cs="Times New Roman"/>
          <w:szCs w:val="24"/>
        </w:rPr>
        <w:t xml:space="preserve"> ust. 3 i 4. Zgodnie z tymi przepisami jednostkom analityki finansowej państw członkowskich Generalny Inspektor udostępnia wszystkie posiadane informacje, pozyskuje informacje w celu ich udostępnienia. Zgodnie z art. 10</w:t>
      </w:r>
      <w:r w:rsidR="009617CE">
        <w:rPr>
          <w:rFonts w:cs="Times New Roman"/>
          <w:szCs w:val="24"/>
        </w:rPr>
        <w:t>2</w:t>
      </w:r>
      <w:r w:rsidRPr="006657A5">
        <w:rPr>
          <w:rFonts w:cs="Times New Roman"/>
          <w:szCs w:val="24"/>
        </w:rPr>
        <w:t xml:space="preserve"> </w:t>
      </w:r>
      <w:r w:rsidRPr="00207355">
        <w:rPr>
          <w:rFonts w:cs="Times New Roman"/>
          <w:szCs w:val="24"/>
        </w:rPr>
        <w:t xml:space="preserve">ust. 3 udostępnianie informacji na wniosek tych </w:t>
      </w:r>
      <w:r w:rsidR="009617CE">
        <w:rPr>
          <w:rFonts w:cs="Times New Roman"/>
          <w:szCs w:val="24"/>
        </w:rPr>
        <w:t>JAF</w:t>
      </w:r>
      <w:r w:rsidRPr="005942A4">
        <w:rPr>
          <w:rFonts w:cs="Times New Roman"/>
          <w:szCs w:val="24"/>
        </w:rPr>
        <w:t xml:space="preserve"> nie zostanie zablo</w:t>
      </w:r>
      <w:r w:rsidRPr="006657A5">
        <w:rPr>
          <w:rFonts w:cs="Times New Roman"/>
          <w:szCs w:val="24"/>
        </w:rPr>
        <w:t>kowane ze względu na przepisy ustanawiające zasady dostępu informacji ustawowo chronionych z wyjątkiem przepisów o ochronie informacji niejawnych. Podobne zasady udostępniania informacji, pod warunkiem zachowania zas</w:t>
      </w:r>
      <w:r w:rsidRPr="009F192D">
        <w:rPr>
          <w:rFonts w:cs="Times New Roman"/>
          <w:szCs w:val="24"/>
        </w:rPr>
        <w:t xml:space="preserve">ady wzajemności zostały przewidziane do realizacji wniosków skierowanych przez </w:t>
      </w:r>
      <w:r w:rsidR="009617CE">
        <w:rPr>
          <w:rFonts w:cs="Times New Roman"/>
          <w:szCs w:val="24"/>
        </w:rPr>
        <w:t>JAF</w:t>
      </w:r>
      <w:r w:rsidRPr="005942A4">
        <w:rPr>
          <w:rFonts w:cs="Times New Roman"/>
          <w:szCs w:val="24"/>
        </w:rPr>
        <w:t xml:space="preserve"> będące członkami międzynarodowej organizacji skupiającej jednostki analityki finansowej – Grupy Egmont.</w:t>
      </w:r>
    </w:p>
    <w:p w14:paraId="389ACD9C" w14:textId="47DBD494" w:rsidR="00885ED2" w:rsidRPr="00207355" w:rsidRDefault="00885ED2" w:rsidP="006563D0">
      <w:pPr>
        <w:spacing w:line="340" w:lineRule="atLeast"/>
        <w:rPr>
          <w:rFonts w:cs="Times New Roman"/>
          <w:szCs w:val="24"/>
        </w:rPr>
      </w:pPr>
      <w:r w:rsidRPr="006657A5">
        <w:rPr>
          <w:rFonts w:cs="Times New Roman"/>
          <w:szCs w:val="24"/>
        </w:rPr>
        <w:lastRenderedPageBreak/>
        <w:t>Art. 10</w:t>
      </w:r>
      <w:r w:rsidR="00697FE4">
        <w:rPr>
          <w:rFonts w:cs="Times New Roman"/>
          <w:szCs w:val="24"/>
        </w:rPr>
        <w:t>3</w:t>
      </w:r>
      <w:r w:rsidRPr="006657A5">
        <w:rPr>
          <w:rFonts w:cs="Times New Roman"/>
          <w:szCs w:val="24"/>
        </w:rPr>
        <w:t xml:space="preserve"> określa wymogi, jakie powinien spełniać wniosek o udostęp</w:t>
      </w:r>
      <w:r w:rsidRPr="009F192D">
        <w:rPr>
          <w:rFonts w:cs="Times New Roman"/>
          <w:szCs w:val="24"/>
        </w:rPr>
        <w:t>nienie informacji kierowany do Generalnego Inspektora.</w:t>
      </w:r>
    </w:p>
    <w:p w14:paraId="25CE9FBB" w14:textId="0BCE98F3" w:rsidR="00885ED2" w:rsidRPr="009F192D" w:rsidRDefault="00885ED2" w:rsidP="006563D0">
      <w:pPr>
        <w:spacing w:line="340" w:lineRule="atLeast"/>
        <w:rPr>
          <w:rFonts w:cs="Times New Roman"/>
          <w:szCs w:val="24"/>
        </w:rPr>
      </w:pPr>
      <w:r w:rsidRPr="002E495D">
        <w:rPr>
          <w:rFonts w:cs="Times New Roman"/>
          <w:szCs w:val="24"/>
        </w:rPr>
        <w:t>W art. 10</w:t>
      </w:r>
      <w:r w:rsidR="004647B9">
        <w:rPr>
          <w:rFonts w:cs="Times New Roman"/>
          <w:szCs w:val="24"/>
        </w:rPr>
        <w:t>4</w:t>
      </w:r>
      <w:r w:rsidRPr="00207355">
        <w:rPr>
          <w:rFonts w:cs="Times New Roman"/>
          <w:szCs w:val="24"/>
        </w:rPr>
        <w:t xml:space="preserve"> wskazano warunki, pod którymi możliwie jest wykorzystanie informacji udostępnianych lub pozyskiwanych przez Generalnego Inspektora do celów innych niż zadania analityczne </w:t>
      </w:r>
      <w:r w:rsidR="009617CE">
        <w:rPr>
          <w:rFonts w:cs="Times New Roman"/>
          <w:szCs w:val="24"/>
        </w:rPr>
        <w:t>JAF</w:t>
      </w:r>
      <w:r w:rsidRPr="005942A4">
        <w:rPr>
          <w:rFonts w:cs="Times New Roman"/>
          <w:szCs w:val="24"/>
        </w:rPr>
        <w:t xml:space="preserve"> lub przekazanie tych informacji innym organom oraz p</w:t>
      </w:r>
      <w:r w:rsidRPr="006657A5">
        <w:rPr>
          <w:rFonts w:cs="Times New Roman"/>
          <w:szCs w:val="24"/>
        </w:rPr>
        <w:t xml:space="preserve">rzewidziano podstawę prawną do wystosowania przez Generalnego Inspektora żądania blokady rachunku lub wstrzymania transakcji na wniosek zagranicznej jednostki analityki finansowej. </w:t>
      </w:r>
    </w:p>
    <w:p w14:paraId="02D29C68" w14:textId="0FCE6C62" w:rsidR="00885ED2" w:rsidRPr="006563D0" w:rsidRDefault="00885ED2" w:rsidP="006563D0">
      <w:pPr>
        <w:spacing w:line="340" w:lineRule="atLeast"/>
        <w:rPr>
          <w:rFonts w:cs="Times New Roman"/>
          <w:szCs w:val="24"/>
        </w:rPr>
      </w:pPr>
      <w:r w:rsidRPr="00207355">
        <w:rPr>
          <w:rFonts w:cs="Times New Roman"/>
          <w:szCs w:val="24"/>
        </w:rPr>
        <w:t>Art. 10</w:t>
      </w:r>
      <w:r w:rsidR="004647B9">
        <w:rPr>
          <w:rFonts w:cs="Times New Roman"/>
          <w:szCs w:val="24"/>
        </w:rPr>
        <w:t>5</w:t>
      </w:r>
      <w:r w:rsidRPr="00207355">
        <w:rPr>
          <w:rFonts w:cs="Times New Roman"/>
          <w:szCs w:val="24"/>
        </w:rPr>
        <w:t xml:space="preserve"> definicje przesłanki, konieczne do spełnienia dla wydania przez G</w:t>
      </w:r>
      <w:r w:rsidRPr="002E495D">
        <w:rPr>
          <w:rFonts w:cs="Times New Roman"/>
          <w:szCs w:val="24"/>
        </w:rPr>
        <w:t>eneralnego Inspektora de</w:t>
      </w:r>
      <w:r w:rsidRPr="00257A48">
        <w:rPr>
          <w:rFonts w:cs="Times New Roman"/>
          <w:szCs w:val="24"/>
        </w:rPr>
        <w:t>cyzji o odmowie udostępniania informacji oraz wprowadza wymóg uzasadnienia takiej decyzji.</w:t>
      </w:r>
    </w:p>
    <w:p w14:paraId="1561EFF0" w14:textId="7D20B7BA" w:rsidR="00543014" w:rsidRPr="006563D0" w:rsidRDefault="00885ED2" w:rsidP="006563D0">
      <w:pPr>
        <w:spacing w:line="340" w:lineRule="atLeast"/>
        <w:rPr>
          <w:rFonts w:cs="Times New Roman"/>
          <w:szCs w:val="24"/>
        </w:rPr>
      </w:pPr>
      <w:r w:rsidRPr="006563D0">
        <w:rPr>
          <w:rFonts w:cs="Times New Roman"/>
          <w:szCs w:val="24"/>
        </w:rPr>
        <w:t>W art. 10</w:t>
      </w:r>
      <w:r w:rsidR="004647B9">
        <w:rPr>
          <w:rFonts w:cs="Times New Roman"/>
          <w:szCs w:val="24"/>
        </w:rPr>
        <w:t>6</w:t>
      </w:r>
      <w:r w:rsidRPr="00207355">
        <w:rPr>
          <w:rFonts w:cs="Times New Roman"/>
          <w:szCs w:val="24"/>
        </w:rPr>
        <w:t xml:space="preserve"> zdefiniowano zasady współpracy Generalnego Inspektora informacje  z Agencją Unii Europejskiej ds. Współpracy Organów Ścigania (Eu</w:t>
      </w:r>
      <w:r w:rsidRPr="002E495D">
        <w:rPr>
          <w:rFonts w:cs="Times New Roman"/>
          <w:szCs w:val="24"/>
        </w:rPr>
        <w:t>ropol), która może odbyw</w:t>
      </w:r>
      <w:r w:rsidRPr="00257A48">
        <w:rPr>
          <w:rFonts w:cs="Times New Roman"/>
          <w:szCs w:val="24"/>
        </w:rPr>
        <w:t xml:space="preserve">ać się zarówno bezpośrednio, jak i za pośrednictwem Jednostki Krajowej Europolu. Art. 109 zawiera podstawę prawną do prowadzenia wymiany informacji z organami państw </w:t>
      </w:r>
      <w:r w:rsidRPr="006563D0">
        <w:rPr>
          <w:rFonts w:cs="Times New Roman"/>
          <w:szCs w:val="24"/>
        </w:rPr>
        <w:t>trzecich, które nie są jednostkami analityki finansowej oraz organizacjami międzynarodowymi  zajmującymi się przeciwdziałaniem praniu pieniędzy lub finansowaniu terroryzmu</w:t>
      </w:r>
      <w:r w:rsidR="00BA0392" w:rsidRPr="006563D0">
        <w:rPr>
          <w:rFonts w:cs="Times New Roman"/>
          <w:szCs w:val="24"/>
        </w:rPr>
        <w:t>.</w:t>
      </w:r>
    </w:p>
    <w:p w14:paraId="461A68D2" w14:textId="77777777" w:rsidR="007B2569" w:rsidRPr="009F192D" w:rsidRDefault="007B2569" w:rsidP="006563D0">
      <w:pPr>
        <w:spacing w:line="340" w:lineRule="atLeast"/>
        <w:rPr>
          <w:rFonts w:cs="Times New Roman"/>
          <w:szCs w:val="24"/>
        </w:rPr>
      </w:pPr>
      <w:r w:rsidRPr="005942A4">
        <w:rPr>
          <w:rFonts w:cs="Times New Roman"/>
          <w:szCs w:val="24"/>
        </w:rPr>
        <w:t>Przepisy rozdziału 10 zmieniają, uzupełniają i doprecyzowują dotychczasowe uregulowania dotyczące stosowania szczególnych środków ogr</w:t>
      </w:r>
      <w:r w:rsidRPr="006657A5">
        <w:rPr>
          <w:rFonts w:cs="Times New Roman"/>
          <w:szCs w:val="24"/>
        </w:rPr>
        <w:t>aniczających w celu przeciwdziałania finansowaniu terroryzmu, zwanych dalej „szczególnymi środkami”.</w:t>
      </w:r>
    </w:p>
    <w:p w14:paraId="7E341FE5" w14:textId="27754C43" w:rsidR="007B2569" w:rsidRPr="006563D0" w:rsidRDefault="007B2569" w:rsidP="006563D0">
      <w:pPr>
        <w:spacing w:line="340" w:lineRule="atLeast"/>
        <w:rPr>
          <w:rFonts w:cs="Times New Roman"/>
          <w:szCs w:val="24"/>
        </w:rPr>
      </w:pPr>
      <w:r w:rsidRPr="00207355">
        <w:rPr>
          <w:rFonts w:cs="Times New Roman"/>
          <w:szCs w:val="24"/>
        </w:rPr>
        <w:t>Celem podjętych prac legislacyjnych jest uregulowanie przedmiotowego zagadnienia w sposób, który umożliwi efektywne stosowanie szczególnych środków, zwł</w:t>
      </w:r>
      <w:r w:rsidRPr="002E495D">
        <w:rPr>
          <w:rFonts w:cs="Times New Roman"/>
          <w:szCs w:val="24"/>
        </w:rPr>
        <w:t>aszcza poprzez realizac</w:t>
      </w:r>
      <w:r w:rsidRPr="00257A48">
        <w:rPr>
          <w:rFonts w:cs="Times New Roman"/>
          <w:szCs w:val="24"/>
        </w:rPr>
        <w:t>ję zobowiązań wynikających z zawartych przez Polskę umów międzynarodowych oraz międzynarodowych standardów w zakresie przeciwdziałania praniu pieniędzy i finansowan</w:t>
      </w:r>
      <w:r w:rsidRPr="006563D0">
        <w:rPr>
          <w:rFonts w:cs="Times New Roman"/>
          <w:szCs w:val="24"/>
        </w:rPr>
        <w:t>ia terroryzmu. Polska, jako państwo członkowskie Organizacji Narodów Zjednoczonych i UE, jest zobowiązana do stosowania szczególnych środków, dla których podstawą są rezolucje Rady Bezpieczeństwa ONZ (podjęte na podstawie rozdziału VII Karty Narodów Zjednoczonych) oraz decyzje Rady UE (wydane na podstawie art. 29 Traktatu o Unii Europejskiej, w ślad za którymi przyjmowane są stosowane bezpośrednio w państwach członkowskich rozporządzenia Rady UE, zgodnie z art. 215 Traktatu o Funkcjonowaniu Unii Europejskiej). Ponadto Polska powinna dążyć do pełnego wdrożenia międzynarodowych standardów w tej dziedzinie, w szczególności 6 rekomendacji FATF.</w:t>
      </w:r>
    </w:p>
    <w:p w14:paraId="7CD7EF20" w14:textId="2085557B" w:rsidR="007B2569" w:rsidRPr="006563D0" w:rsidRDefault="007B2569" w:rsidP="006563D0">
      <w:pPr>
        <w:spacing w:line="340" w:lineRule="atLeast"/>
        <w:rPr>
          <w:rFonts w:cs="Times New Roman"/>
          <w:szCs w:val="24"/>
        </w:rPr>
      </w:pPr>
      <w:r w:rsidRPr="006563D0">
        <w:rPr>
          <w:rFonts w:cs="Times New Roman"/>
          <w:szCs w:val="24"/>
        </w:rPr>
        <w:t xml:space="preserve">Zakres uregulowania dotyczy szczególnych środków, o charakterze finansowym, które polegają na zamrażaniu wartości majątkowych oraz ich nieudostępnianiu, stosowanych w celu przeciwdziałania finansowaniu terroryzmu. </w:t>
      </w:r>
    </w:p>
    <w:p w14:paraId="02FDA114" w14:textId="77777777" w:rsidR="007B2569" w:rsidRPr="006563D0" w:rsidRDefault="007B2569" w:rsidP="006563D0">
      <w:pPr>
        <w:spacing w:line="340" w:lineRule="atLeast"/>
        <w:rPr>
          <w:rFonts w:cs="Times New Roman"/>
          <w:szCs w:val="24"/>
        </w:rPr>
      </w:pPr>
      <w:r w:rsidRPr="006563D0">
        <w:rPr>
          <w:rFonts w:cs="Times New Roman"/>
          <w:szCs w:val="24"/>
        </w:rPr>
        <w:t>W tym zakresie Rzeczpospolita Polska jest zobowiązana do wdrożenia przepisów, dotyczących stosowania szczególnych środków przeciwko osobom i podmiotom określonym  przez Radę Bezpieczeństwa ONZ w:</w:t>
      </w:r>
    </w:p>
    <w:p w14:paraId="571938E2" w14:textId="1E8A6C11" w:rsidR="007B2569" w:rsidRPr="006563D0" w:rsidRDefault="007B2569" w:rsidP="006563D0">
      <w:pPr>
        <w:pStyle w:val="Akapitzlist"/>
        <w:numPr>
          <w:ilvl w:val="0"/>
          <w:numId w:val="42"/>
        </w:numPr>
        <w:spacing w:line="340" w:lineRule="atLeast"/>
        <w:rPr>
          <w:rFonts w:cs="Times New Roman"/>
          <w:szCs w:val="24"/>
        </w:rPr>
      </w:pPr>
      <w:r w:rsidRPr="006563D0">
        <w:rPr>
          <w:rFonts w:cs="Times New Roman"/>
          <w:szCs w:val="24"/>
        </w:rPr>
        <w:lastRenderedPageBreak/>
        <w:t>Rezolucji 1267(1999) (i następujących po niej rezolucjach), na podstawie której Komitet ds. Sankcji wobec ISIL (Da'esh) i Al-Kaidy prowadzi listę osób i podmiotów mających związek z ISIL (Da'esh) i Al Kaidą - ISIL (Da'esh) &amp; Al-Qaida Sanctions List);</w:t>
      </w:r>
    </w:p>
    <w:p w14:paraId="7DA80DEB" w14:textId="6F89D8F9" w:rsidR="007B2569" w:rsidRPr="006563D0" w:rsidRDefault="007B2569" w:rsidP="006563D0">
      <w:pPr>
        <w:pStyle w:val="Akapitzlist"/>
        <w:numPr>
          <w:ilvl w:val="0"/>
          <w:numId w:val="42"/>
        </w:numPr>
        <w:spacing w:line="340" w:lineRule="atLeast"/>
        <w:rPr>
          <w:rFonts w:cs="Times New Roman"/>
          <w:szCs w:val="24"/>
        </w:rPr>
      </w:pPr>
      <w:r w:rsidRPr="006563D0">
        <w:rPr>
          <w:rFonts w:cs="Times New Roman"/>
          <w:szCs w:val="24"/>
        </w:rPr>
        <w:t>Rezolucji 1988(2011) (i następujących po niej rezolucjach), na podstawie której Komitet ds. Sankcji wobec Talibów (tzw. Komitet 1988) prowadzi listę osób, grup, przedsięwzięć i podmiotów mających związek z Talibami (1988 Sanctions List);</w:t>
      </w:r>
    </w:p>
    <w:p w14:paraId="332ADCB8" w14:textId="2DEB4A1E" w:rsidR="007B2569" w:rsidRPr="006563D0" w:rsidRDefault="007B2569" w:rsidP="006563D0">
      <w:pPr>
        <w:pStyle w:val="Akapitzlist"/>
        <w:numPr>
          <w:ilvl w:val="0"/>
          <w:numId w:val="42"/>
        </w:numPr>
        <w:spacing w:line="340" w:lineRule="atLeast"/>
        <w:rPr>
          <w:rFonts w:cs="Times New Roman"/>
          <w:szCs w:val="24"/>
        </w:rPr>
      </w:pPr>
      <w:r w:rsidRPr="006563D0">
        <w:rPr>
          <w:rFonts w:cs="Times New Roman"/>
          <w:szCs w:val="24"/>
        </w:rPr>
        <w:t>Rezolucji 1373(2001) (i następujących po niej rezolucjach), określającej strategię walki z terroryzmem, w szczególności z jego finansowaniem, pozostawiająca państwom identyfikację osób i podmiotów, mogących mieć związek z działalnością terrorystyczną, do których zastosowane powinny być środki ograniczające.</w:t>
      </w:r>
    </w:p>
    <w:p w14:paraId="0E624B59" w14:textId="77777777" w:rsidR="007B2569" w:rsidRPr="006563D0" w:rsidRDefault="007B2569" w:rsidP="006563D0">
      <w:pPr>
        <w:spacing w:line="340" w:lineRule="atLeast"/>
        <w:rPr>
          <w:rFonts w:cs="Times New Roman"/>
          <w:szCs w:val="24"/>
        </w:rPr>
      </w:pPr>
      <w:r w:rsidRPr="006563D0">
        <w:rPr>
          <w:rFonts w:cs="Times New Roman"/>
          <w:szCs w:val="24"/>
        </w:rPr>
        <w:t>Przywołane powyżej skonsolidowane listy są publikowane na stronach internetowych Rady Bezpieczeństwa Narodów Zjednoczonych.</w:t>
      </w:r>
    </w:p>
    <w:p w14:paraId="6BF15A44" w14:textId="362D0C3A" w:rsidR="007B2569" w:rsidRPr="006563D0" w:rsidRDefault="007B2569" w:rsidP="006563D0">
      <w:pPr>
        <w:spacing w:line="340" w:lineRule="atLeast"/>
        <w:rPr>
          <w:rFonts w:cs="Times New Roman"/>
          <w:szCs w:val="24"/>
        </w:rPr>
      </w:pPr>
      <w:r w:rsidRPr="006563D0">
        <w:rPr>
          <w:rFonts w:cs="Times New Roman"/>
          <w:szCs w:val="24"/>
        </w:rPr>
        <w:t>Powyższy reżim szczególnych środków ustanowionych przez ONZ jest implementowany na poziomie UE. W obecnie obowiązującym stanie prawnym, w państwach członkowskich UE szczególne środki szczególne stosuje się na podstawie:</w:t>
      </w:r>
    </w:p>
    <w:p w14:paraId="2520C0BD" w14:textId="259E65CF" w:rsidR="007B2569" w:rsidRPr="006563D0" w:rsidRDefault="007B2569" w:rsidP="006563D0">
      <w:pPr>
        <w:pStyle w:val="Akapitzlist"/>
        <w:numPr>
          <w:ilvl w:val="0"/>
          <w:numId w:val="43"/>
        </w:numPr>
        <w:spacing w:line="340" w:lineRule="atLeast"/>
        <w:rPr>
          <w:rFonts w:cs="Times New Roman"/>
          <w:szCs w:val="24"/>
        </w:rPr>
      </w:pPr>
      <w:r w:rsidRPr="006563D0">
        <w:rPr>
          <w:rFonts w:cs="Times New Roman"/>
          <w:szCs w:val="24"/>
        </w:rPr>
        <w:t xml:space="preserve">rozporządzenia 881/2002 wprowadzającego niektóre szczególne środki ograniczające skierowane przeciwko niektórym osobom i podmiotom związanym z ISIL (Daisz) i z organizacjami Al-Kaidy, zawierającego listę osób wskazywanych przez Komitet 1267, implementującego rezolucję Rady Bezpieczeństwa 1267(1999); </w:t>
      </w:r>
    </w:p>
    <w:p w14:paraId="748EEAFF" w14:textId="3A7D6888" w:rsidR="007B2569" w:rsidRPr="006563D0" w:rsidRDefault="007B2569" w:rsidP="006563D0">
      <w:pPr>
        <w:pStyle w:val="Akapitzlist"/>
        <w:numPr>
          <w:ilvl w:val="0"/>
          <w:numId w:val="43"/>
        </w:numPr>
        <w:spacing w:line="340" w:lineRule="atLeast"/>
        <w:rPr>
          <w:rFonts w:cs="Times New Roman"/>
          <w:szCs w:val="24"/>
        </w:rPr>
      </w:pPr>
      <w:r w:rsidRPr="006563D0">
        <w:rPr>
          <w:rFonts w:cs="Times New Roman"/>
          <w:szCs w:val="24"/>
        </w:rPr>
        <w:t>rozporządzenia 753/2011 w sprawie środków ograniczających skierowanych przeciwko niektórym osobom, grupom, przedsiębiorstwom i podmiotom w związku z sytuacją w Afganistanie, zawierającego listę podmiotów powiązanych z Talibami, implementującego Rady Bezpieczeństwa 1988(2011);</w:t>
      </w:r>
    </w:p>
    <w:p w14:paraId="29DA3EC3" w14:textId="78D2F86A" w:rsidR="007B2569" w:rsidRPr="006563D0" w:rsidRDefault="007B2569" w:rsidP="006563D0">
      <w:pPr>
        <w:pStyle w:val="Akapitzlist"/>
        <w:numPr>
          <w:ilvl w:val="0"/>
          <w:numId w:val="43"/>
        </w:numPr>
        <w:spacing w:line="340" w:lineRule="atLeast"/>
        <w:rPr>
          <w:rFonts w:cs="Times New Roman"/>
          <w:szCs w:val="24"/>
        </w:rPr>
      </w:pPr>
      <w:r w:rsidRPr="006563D0">
        <w:rPr>
          <w:rFonts w:cs="Times New Roman"/>
          <w:szCs w:val="24"/>
        </w:rPr>
        <w:t xml:space="preserve">rozporządzenia 2580/2001 w sprawie szczególnych środków restrykcyjnych skierowanych przeciwko niektórym osobom i podmiotom mających na celu zwalczanie terroryzmu (poprzedzone Wspólnym Stanowiskiem 931/2001), implementującego rezolucję Rady Bezpieczeństwa 1373(2001). </w:t>
      </w:r>
    </w:p>
    <w:p w14:paraId="34A67790" w14:textId="77777777" w:rsidR="007B2569" w:rsidRPr="006563D0" w:rsidRDefault="007B2569" w:rsidP="006563D0">
      <w:pPr>
        <w:spacing w:line="340" w:lineRule="atLeast"/>
        <w:rPr>
          <w:rFonts w:cs="Times New Roman"/>
          <w:szCs w:val="24"/>
        </w:rPr>
      </w:pPr>
      <w:r w:rsidRPr="006563D0">
        <w:rPr>
          <w:rFonts w:cs="Times New Roman"/>
          <w:szCs w:val="24"/>
        </w:rPr>
        <w:t xml:space="preserve">Ponieważ rozporządzenia UE obowiązują w państwach członkowskich bezpośrednio, to obowiązek ich stosowania nie został przywołany w przepisach ustawy. </w:t>
      </w:r>
    </w:p>
    <w:p w14:paraId="7145960B" w14:textId="77777777" w:rsidR="007B2569" w:rsidRPr="006563D0" w:rsidRDefault="007B2569" w:rsidP="006563D0">
      <w:pPr>
        <w:spacing w:line="340" w:lineRule="atLeast"/>
        <w:rPr>
          <w:rFonts w:cs="Times New Roman"/>
          <w:szCs w:val="24"/>
        </w:rPr>
      </w:pPr>
      <w:r w:rsidRPr="006563D0">
        <w:rPr>
          <w:rFonts w:cs="Times New Roman"/>
          <w:szCs w:val="24"/>
        </w:rPr>
        <w:t xml:space="preserve">Rozporządzenia UE implementują reżim szczególnych środków ustanowiony przez ONZ wobec osób i podmiotów mogących mieć związek z działalnością terrorystyczną w ograniczonym zakresie, co powoduje potrzebę uregulowania w przepisach ustawy dwóch kwestii. Po pierwsze, rezolucje ONZ zobowiązują do stosowania szczególnych środków bez zbędnej zwłoki, podczas gdy ich implementacja na szczeblu UE następuje ze znacznym opóźnieniem. W związku z tym wprowadzono obowiązek stosowania szczególnych środków na zasadach przewidzianych w ustawie wobec osób i podmiotów, umieszczonych na listach, o których mowa w rezolucjach ONZ, jeszcze zanim pojawią się w załącznikach do rozporządzeń unijnych. Jednocześnie w momencie pojawienia się osoby lub podmiotu na </w:t>
      </w:r>
      <w:r w:rsidRPr="006563D0">
        <w:rPr>
          <w:rFonts w:cs="Times New Roman"/>
          <w:szCs w:val="24"/>
        </w:rPr>
        <w:lastRenderedPageBreak/>
        <w:t xml:space="preserve">liście stanowiącej załącznik do rozporządzenia unijnego, bezpośrednie zastosowanie znajdą przepisy rozporządzenia. </w:t>
      </w:r>
    </w:p>
    <w:p w14:paraId="159A0FD2" w14:textId="626059D5" w:rsidR="007B2569" w:rsidRPr="006563D0" w:rsidRDefault="007B2569" w:rsidP="006563D0">
      <w:pPr>
        <w:spacing w:line="340" w:lineRule="atLeast"/>
        <w:rPr>
          <w:rFonts w:cs="Times New Roman"/>
          <w:szCs w:val="24"/>
        </w:rPr>
      </w:pPr>
      <w:r w:rsidRPr="006563D0">
        <w:rPr>
          <w:rFonts w:cs="Times New Roman"/>
          <w:szCs w:val="24"/>
        </w:rPr>
        <w:t>Po drugie, podstawa prawna dotychczasowych regulacji unijnych dotyczy wymiaru zewnętrznych działań Unii Europejskiej i przepisy te nie pozwalają na zastosowanie środków w postaci zamrożenia i nieudostępniania wartości majątkowych do podmiotów z UE. Traktat z Lizbony wprowadził przepis art. 75 Traktatu o Funkcjonowaniu Unii Europejskiej, zgodnie z którym Parlament i Rada określają w drodze rozporządzenia ramy środków administracyjnych odnoszących się do przepływu kapitału i płatności, takich jak zamrożenie funduszy należących do osób fizycznych lub prawnych i podmiotów innych niż państwa.  Przepis ten zawarty jest w rozdziale dotyczącym obszaru wolności, sprawiedliwości i bezpieczeństwa, a tym samym jego zakres nie odnosi się do stosunków zewnętrznych i może stanowić podstawę do przyjęcia rozwiązań, które pozwolą na stosowanie tego środka do podmiotów podejrzanych o związki z terroryzmem,  działających na terytorium UE (</w:t>
      </w:r>
      <w:r w:rsidRPr="006563D0">
        <w:rPr>
          <w:rFonts w:cs="Times New Roman"/>
          <w:i/>
          <w:szCs w:val="24"/>
        </w:rPr>
        <w:t>the EU Internals</w:t>
      </w:r>
      <w:r w:rsidRPr="006563D0">
        <w:rPr>
          <w:rFonts w:cs="Times New Roman"/>
          <w:szCs w:val="24"/>
        </w:rPr>
        <w:t>). Dotychczas taki akt prawny nie został jednak przyjęty. W tym zakresie obowiązujący międzynarodowy reżim szczególnych środków wdrażają przepisy ustawy, poprzez umożliwienie wskazania osób lub podmiotów, przeciwko którym stosowane mają być szczególne środki na liście prowadzonej przez Generalnego Inspektora.</w:t>
      </w:r>
    </w:p>
    <w:p w14:paraId="525DAD73" w14:textId="77777777" w:rsidR="007B2569" w:rsidRPr="006563D0" w:rsidRDefault="007B2569" w:rsidP="006563D0">
      <w:pPr>
        <w:spacing w:line="340" w:lineRule="atLeast"/>
        <w:rPr>
          <w:rFonts w:cs="Times New Roman"/>
          <w:szCs w:val="24"/>
        </w:rPr>
      </w:pPr>
      <w:r w:rsidRPr="006563D0">
        <w:rPr>
          <w:rFonts w:cs="Times New Roman"/>
          <w:szCs w:val="24"/>
        </w:rPr>
        <w:t xml:space="preserve">Wszystkie listy osób i podmiotów, przeciwko którym należy stosować szczególne środki na podstawie przepisów ustawy publikowane będą w biuletynie informacji publicznej na stronie podmiotowej ministra właściwego do spraw finansów publicznych. Niezależnie od tego, w celu zapewnienia jak najpowszechniejszego dostępu do informacji o obowiązku stosowania szczególnych środków, przewidziano możliwość wydania przez Generalnego Inspektora stosownego komunikatu w środkach masowego przekazu. </w:t>
      </w:r>
    </w:p>
    <w:p w14:paraId="55B1FB55" w14:textId="77777777" w:rsidR="007B2569" w:rsidRPr="006563D0" w:rsidRDefault="007B2569" w:rsidP="006563D0">
      <w:pPr>
        <w:spacing w:line="340" w:lineRule="atLeast"/>
        <w:rPr>
          <w:rFonts w:cs="Times New Roman"/>
          <w:szCs w:val="24"/>
        </w:rPr>
      </w:pPr>
      <w:r w:rsidRPr="006563D0">
        <w:rPr>
          <w:rFonts w:cs="Times New Roman"/>
          <w:szCs w:val="24"/>
        </w:rPr>
        <w:t>W ustawie wprowadzono definicję zamrożenia wartości majątkowych odpowiadającej w swej treści brzmieniu przewidzianym w rezolucjach ONZ oraz rozporządzeniach UE. W stosunku do obecnego stanu prawnego, w ustawie wprowadzono – zgodnie z przepisami rezolucji ONZ – zakaz udostępniania wartości majątkowych. Definicja nieudostępniania wartości majątkowych została przyjęta w rozporządzeniu 881/2002 i na jej brzmieniu opiera się definicja zaproponowana w niniejszej ustawie.</w:t>
      </w:r>
    </w:p>
    <w:p w14:paraId="374B8CE8" w14:textId="77777777" w:rsidR="007B2569" w:rsidRPr="006563D0" w:rsidRDefault="007B2569" w:rsidP="006563D0">
      <w:pPr>
        <w:spacing w:line="340" w:lineRule="atLeast"/>
        <w:rPr>
          <w:rFonts w:cs="Times New Roman"/>
          <w:szCs w:val="24"/>
        </w:rPr>
      </w:pPr>
      <w:r w:rsidRPr="006563D0">
        <w:rPr>
          <w:rFonts w:cs="Times New Roman"/>
          <w:szCs w:val="24"/>
        </w:rPr>
        <w:t xml:space="preserve">Zmianie w stosunku do obecnie obowiązujących przepisów uległa procedura wskazywania na szczeblu krajowym osób i podmiotów przeciwko którym stosuje się szczególne środki ograniczające. W ustawie – zgodnie z przepisami rezolucji 1373(2001) – określono konkretne kryteria, które spełniać powinny takie osoby i podmioty. </w:t>
      </w:r>
    </w:p>
    <w:p w14:paraId="68698402" w14:textId="371A716C" w:rsidR="007B2569" w:rsidRPr="006563D0" w:rsidRDefault="007B2569" w:rsidP="006563D0">
      <w:pPr>
        <w:spacing w:line="340" w:lineRule="atLeast"/>
        <w:rPr>
          <w:rFonts w:cs="Times New Roman"/>
          <w:szCs w:val="24"/>
        </w:rPr>
      </w:pPr>
      <w:r w:rsidRPr="006563D0">
        <w:rPr>
          <w:rFonts w:cs="Times New Roman"/>
          <w:szCs w:val="24"/>
        </w:rPr>
        <w:t xml:space="preserve">Wobec osób i podmiotów spełniających te kryteria Generalny Inspektor wydaje decyzję o umieszczeniu ich na liście osób i podmiotów, przeciwko którym stosuje się szczególne środki ograniczające. </w:t>
      </w:r>
    </w:p>
    <w:p w14:paraId="32FA37DD" w14:textId="7EFAAA15" w:rsidR="007B2569" w:rsidRPr="006563D0" w:rsidRDefault="007B2569" w:rsidP="006563D0">
      <w:pPr>
        <w:spacing w:line="340" w:lineRule="atLeast"/>
        <w:rPr>
          <w:rFonts w:cs="Times New Roman"/>
          <w:szCs w:val="24"/>
        </w:rPr>
      </w:pPr>
      <w:r w:rsidRPr="006563D0">
        <w:rPr>
          <w:rFonts w:cs="Times New Roman"/>
          <w:szCs w:val="24"/>
        </w:rPr>
        <w:t xml:space="preserve">Od decyzji przysługuje odwołanie do ministra właściwego do spraw instytucji finansowych oraz skarga do sądu administracyjnego. Dla zapewnienia skuteczności zastosowania środków </w:t>
      </w:r>
      <w:r w:rsidRPr="006563D0">
        <w:rPr>
          <w:rFonts w:cs="Times New Roman"/>
          <w:szCs w:val="24"/>
        </w:rPr>
        <w:lastRenderedPageBreak/>
        <w:t xml:space="preserve">ograniczających, niezależnie od wniesienia odwołania, decyzja z mocy ustawy podlega natychmiastowemu wykonaniu. </w:t>
      </w:r>
    </w:p>
    <w:p w14:paraId="443DEBC8" w14:textId="6CED6541" w:rsidR="007B2569" w:rsidRPr="005942A4" w:rsidRDefault="007B2569" w:rsidP="006563D0">
      <w:pPr>
        <w:spacing w:line="340" w:lineRule="atLeast"/>
        <w:rPr>
          <w:rFonts w:cs="Times New Roman"/>
          <w:szCs w:val="24"/>
        </w:rPr>
      </w:pPr>
      <w:r w:rsidRPr="006563D0">
        <w:rPr>
          <w:rFonts w:cs="Times New Roman"/>
          <w:szCs w:val="24"/>
        </w:rPr>
        <w:t>Wydanie decyzji o umieszczeniu osoby lub podmiotu na liście jest poprzedzone oceną   międzyinstytucjonalną</w:t>
      </w:r>
      <w:r w:rsidR="00FC2282">
        <w:rPr>
          <w:rFonts w:cs="Times New Roman"/>
          <w:szCs w:val="24"/>
        </w:rPr>
        <w:t>. W</w:t>
      </w:r>
      <w:r w:rsidRPr="006563D0">
        <w:rPr>
          <w:rFonts w:cs="Times New Roman"/>
          <w:szCs w:val="24"/>
        </w:rPr>
        <w:t>zmocnione zostały kompetencje Międzyresortowego Komitetu Bezpieczeństwa Finansowego</w:t>
      </w:r>
      <w:r w:rsidR="00FC2282">
        <w:rPr>
          <w:rFonts w:cs="Times New Roman"/>
          <w:szCs w:val="24"/>
        </w:rPr>
        <w:t xml:space="preserve"> w tym zakresie</w:t>
      </w:r>
      <w:r w:rsidRPr="006563D0">
        <w:rPr>
          <w:rFonts w:cs="Times New Roman"/>
          <w:szCs w:val="24"/>
        </w:rPr>
        <w:t xml:space="preserve">. </w:t>
      </w:r>
    </w:p>
    <w:p w14:paraId="168B30F9" w14:textId="77777777" w:rsidR="007B2569" w:rsidRPr="006563D0" w:rsidRDefault="007B2569" w:rsidP="006563D0">
      <w:pPr>
        <w:spacing w:line="340" w:lineRule="atLeast"/>
        <w:rPr>
          <w:rFonts w:cs="Times New Roman"/>
          <w:szCs w:val="24"/>
        </w:rPr>
      </w:pPr>
      <w:r w:rsidRPr="006657A5">
        <w:rPr>
          <w:rFonts w:cs="Times New Roman"/>
          <w:szCs w:val="24"/>
        </w:rPr>
        <w:t>Komitetowi zostały więc przyznane kompetencje wydawania rekomendacji w zakresie stosowania szczególnych środków wobec osób i podmiotów. Rekomendacja wydawana będzie</w:t>
      </w:r>
      <w:r w:rsidRPr="009F192D">
        <w:rPr>
          <w:rFonts w:cs="Times New Roman"/>
          <w:szCs w:val="24"/>
        </w:rPr>
        <w:t xml:space="preserve"> również wobec osób i podmiotów, co do których zagraniczne jednostki wystąpią z wnioskiem o stosowanie szczególnych </w:t>
      </w:r>
      <w:r w:rsidRPr="00207355">
        <w:rPr>
          <w:rFonts w:cs="Times New Roman"/>
          <w:szCs w:val="24"/>
        </w:rPr>
        <w:t>środków ograniczających jak również wobec osób i podmiotów, co do których wystosowany zostanie wniosek do zagranicznych jednostek o stosowanie szczególnych środków. Przy wymianie w</w:t>
      </w:r>
      <w:r w:rsidRPr="002E495D">
        <w:rPr>
          <w:rFonts w:cs="Times New Roman"/>
          <w:szCs w:val="24"/>
        </w:rPr>
        <w:t>niosków o stosowanie szcze</w:t>
      </w:r>
      <w:r w:rsidRPr="00257A48">
        <w:rPr>
          <w:rFonts w:cs="Times New Roman"/>
          <w:szCs w:val="24"/>
        </w:rPr>
        <w:t>gólnych środków ograniczających z właściwymi organami</w:t>
      </w:r>
      <w:r w:rsidRPr="006563D0">
        <w:rPr>
          <w:rFonts w:cs="Times New Roman"/>
          <w:szCs w:val="24"/>
        </w:rPr>
        <w:t xml:space="preserve"> innych państw przewidziano udział ministra właściwego do spraw zagranicznych, jako organu odpowiedzialnego za kształtowanie polityki zagranicznej państwa oraz koordynującego zagadnienia związane ze stosowaniem sankcji międzynarodowych.</w:t>
      </w:r>
    </w:p>
    <w:p w14:paraId="317D475B" w14:textId="77777777" w:rsidR="007B2569" w:rsidRPr="006563D0" w:rsidRDefault="007B2569" w:rsidP="006563D0">
      <w:pPr>
        <w:spacing w:line="340" w:lineRule="atLeast"/>
        <w:rPr>
          <w:rFonts w:cs="Times New Roman"/>
          <w:szCs w:val="24"/>
        </w:rPr>
      </w:pPr>
      <w:r w:rsidRPr="006563D0">
        <w:rPr>
          <w:rFonts w:cs="Times New Roman"/>
          <w:szCs w:val="24"/>
        </w:rPr>
        <w:t xml:space="preserve">Podmiotowe i przedmiotowe rozszerzenie zakresu obowiązku stosowania szczególnych środków ma na celu pełną implementację przepisów rezolucji ONZ. W zakresie podmiotowym obowiązkiem tym objęto wszystkie osoby fizyczne, prawne oraz jednostki organizacyjne nieposiadające osobowości prawnej. </w:t>
      </w:r>
    </w:p>
    <w:p w14:paraId="2E2739AA" w14:textId="75DB53E9" w:rsidR="007B2569" w:rsidRPr="009F192D" w:rsidRDefault="007B2569" w:rsidP="006563D0">
      <w:pPr>
        <w:spacing w:line="340" w:lineRule="atLeast"/>
        <w:rPr>
          <w:rFonts w:cs="Times New Roman"/>
          <w:szCs w:val="24"/>
        </w:rPr>
      </w:pPr>
      <w:r w:rsidRPr="006563D0">
        <w:rPr>
          <w:rFonts w:cs="Times New Roman"/>
          <w:szCs w:val="24"/>
        </w:rPr>
        <w:t>W zakresie przedmiotowym obowiązkiem objęte zostały wartości majątkowe zdefiniowane w art. 2 ust. 2 pkt 3</w:t>
      </w:r>
      <w:r w:rsidR="00FC2282">
        <w:rPr>
          <w:rFonts w:cs="Times New Roman"/>
          <w:szCs w:val="24"/>
        </w:rPr>
        <w:t>1</w:t>
      </w:r>
      <w:r w:rsidRPr="006563D0">
        <w:rPr>
          <w:rFonts w:cs="Times New Roman"/>
          <w:szCs w:val="24"/>
        </w:rPr>
        <w:t xml:space="preserve"> niniejszej ustawy, bez dotychczasowego wyłączenia rzeczy ruchomych i nieruchomości. Zaznaczyć należy, że celem stosowania szczególnych środków jest przeciwdziałanie finansowaniu terroryzmu, a zatem poza zakresem uregulowania znajdują się te rzeczy ruchome i nieruchomości, które służą wyłącznie na osobiste potrzeby osób lub podmiotów i nie mogą być użyte w celu uzyskania przez nich środków na finansowanie terroryzmu. Ponadto, zgodnie z postanowieniami rezolucji 1373(2001), zamraża się wartości majątkowe nie tylko będące własnością, ale również posiadane, kontrolowane pośrednio oraz bezpośrednio przez osoby i podmioty o których mowa w art. </w:t>
      </w:r>
      <w:r w:rsidR="00FC2282">
        <w:rPr>
          <w:rFonts w:cs="Times New Roman"/>
          <w:szCs w:val="24"/>
        </w:rPr>
        <w:t>109</w:t>
      </w:r>
      <w:r w:rsidRPr="006563D0">
        <w:rPr>
          <w:rFonts w:cs="Times New Roman"/>
          <w:szCs w:val="24"/>
        </w:rPr>
        <w:t xml:space="preserve"> ust. 1</w:t>
      </w:r>
      <w:r w:rsidRPr="005942A4">
        <w:rPr>
          <w:rFonts w:cs="Times New Roman"/>
          <w:szCs w:val="24"/>
        </w:rPr>
        <w:t>, a także korzyści pochodzące z tych wartości majątkowych oraz wartości majątkowych nie udostępnia się tym os</w:t>
      </w:r>
      <w:r w:rsidRPr="006657A5">
        <w:rPr>
          <w:rFonts w:cs="Times New Roman"/>
          <w:szCs w:val="24"/>
        </w:rPr>
        <w:t>obom i podmiotom bezpośrednio, pośrednio, ani na ich rzecz.</w:t>
      </w:r>
    </w:p>
    <w:p w14:paraId="5D18373B" w14:textId="77777777" w:rsidR="007B2569" w:rsidRPr="006563D0" w:rsidRDefault="007B2569" w:rsidP="006563D0">
      <w:pPr>
        <w:spacing w:line="340" w:lineRule="atLeast"/>
        <w:rPr>
          <w:rFonts w:cs="Times New Roman"/>
          <w:szCs w:val="24"/>
        </w:rPr>
      </w:pPr>
      <w:r w:rsidRPr="00257A48">
        <w:rPr>
          <w:rFonts w:cs="Times New Roman"/>
          <w:szCs w:val="24"/>
        </w:rPr>
        <w:t>Zgodnie ze standardami międzynarodowymi, szczególne środki stosuje się bez uprzedniego informowania osób i podmiotów, a wszelkie dane związane z zamrożeniem wartości majątk</w:t>
      </w:r>
      <w:r w:rsidRPr="006563D0">
        <w:rPr>
          <w:rFonts w:cs="Times New Roman"/>
          <w:szCs w:val="24"/>
        </w:rPr>
        <w:t>owych lub ich nieudostępnieniem są przekazywane niezwłocznie do Generalnego Inspektora.</w:t>
      </w:r>
    </w:p>
    <w:p w14:paraId="30B3B35D" w14:textId="54A808EE" w:rsidR="007B2569" w:rsidRPr="006563D0" w:rsidRDefault="007B2569" w:rsidP="006563D0">
      <w:pPr>
        <w:spacing w:line="340" w:lineRule="atLeast"/>
        <w:rPr>
          <w:rFonts w:cs="Times New Roman"/>
          <w:szCs w:val="24"/>
        </w:rPr>
      </w:pPr>
      <w:r w:rsidRPr="006563D0">
        <w:rPr>
          <w:rFonts w:cs="Times New Roman"/>
          <w:szCs w:val="24"/>
        </w:rPr>
        <w:t xml:space="preserve">Wprowadzono również przepisy dotyczące okresowej oceny okoliczności, dotyczących osób i podmiotów, wobec których zastosowano szczególne środki na podstawie decyzji </w:t>
      </w:r>
      <w:r w:rsidR="008B4CBB" w:rsidRPr="006563D0">
        <w:rPr>
          <w:rFonts w:cs="Times New Roman"/>
          <w:szCs w:val="24"/>
        </w:rPr>
        <w:t>Generalnego Inspektora</w:t>
      </w:r>
      <w:r w:rsidRPr="006563D0">
        <w:rPr>
          <w:rFonts w:cs="Times New Roman"/>
          <w:szCs w:val="24"/>
        </w:rPr>
        <w:t>. W przypadku ustania okoliczności uzasadniających potrzebę stosowania szczególnych środków, Komitet wydaje rekomendację, na podstawie której Generalny Inspektor wykreśla osobę lub podmiot z listy.</w:t>
      </w:r>
    </w:p>
    <w:p w14:paraId="612B505C" w14:textId="76D8B119" w:rsidR="007B2569" w:rsidRPr="009F192D" w:rsidRDefault="007B2569" w:rsidP="006563D0">
      <w:pPr>
        <w:spacing w:line="340" w:lineRule="atLeast"/>
        <w:rPr>
          <w:rFonts w:cs="Times New Roman"/>
          <w:szCs w:val="24"/>
        </w:rPr>
      </w:pPr>
      <w:r w:rsidRPr="006563D0">
        <w:rPr>
          <w:rFonts w:cs="Times New Roman"/>
          <w:szCs w:val="24"/>
        </w:rPr>
        <w:lastRenderedPageBreak/>
        <w:t>Wymienione w art. 1</w:t>
      </w:r>
      <w:r w:rsidR="00FC2282">
        <w:rPr>
          <w:rFonts w:cs="Times New Roman"/>
          <w:szCs w:val="24"/>
        </w:rPr>
        <w:t>17</w:t>
      </w:r>
      <w:r w:rsidRPr="006563D0">
        <w:rPr>
          <w:rFonts w:cs="Times New Roman"/>
          <w:szCs w:val="24"/>
        </w:rPr>
        <w:t xml:space="preserve"> ust. </w:t>
      </w:r>
      <w:r w:rsidRPr="005942A4">
        <w:rPr>
          <w:rFonts w:cs="Times New Roman"/>
          <w:szCs w:val="24"/>
        </w:rPr>
        <w:t>1 przesłanki determinujące możliwość wnioskowania o użycie zamrożonych wartości majątkowy</w:t>
      </w:r>
      <w:r w:rsidRPr="006657A5">
        <w:rPr>
          <w:rFonts w:cs="Times New Roman"/>
          <w:szCs w:val="24"/>
        </w:rPr>
        <w:t xml:space="preserve">ch są implementacją postanowień rezolucji 1452(2002). </w:t>
      </w:r>
    </w:p>
    <w:p w14:paraId="0A49742B" w14:textId="77777777" w:rsidR="003628BC" w:rsidRDefault="003628BC" w:rsidP="006563D0">
      <w:pPr>
        <w:spacing w:line="340" w:lineRule="atLeast"/>
        <w:rPr>
          <w:rFonts w:cs="Times New Roman"/>
          <w:szCs w:val="24"/>
        </w:rPr>
      </w:pPr>
    </w:p>
    <w:p w14:paraId="24526208" w14:textId="77777777" w:rsidR="003628BC" w:rsidRPr="006563D0" w:rsidRDefault="003628BC" w:rsidP="003628BC">
      <w:pPr>
        <w:spacing w:line="340" w:lineRule="atLeast"/>
        <w:rPr>
          <w:rFonts w:cs="Times New Roman"/>
          <w:szCs w:val="24"/>
        </w:rPr>
      </w:pPr>
      <w:r w:rsidRPr="00207355">
        <w:rPr>
          <w:rFonts w:cs="Times New Roman"/>
          <w:szCs w:val="24"/>
        </w:rPr>
        <w:t>Ponieważ przepisy implementujące postanowienia ww. rezolucji na poziomie unijnym nie określają procedury udzielenia lub odmowy udzielenia zgody na użycie zamrożonych wartości maj</w:t>
      </w:r>
      <w:r w:rsidRPr="002E495D">
        <w:rPr>
          <w:rFonts w:cs="Times New Roman"/>
          <w:szCs w:val="24"/>
        </w:rPr>
        <w:t xml:space="preserve">ątkowych, przewiduje </w:t>
      </w:r>
      <w:r w:rsidRPr="00257A48">
        <w:rPr>
          <w:rFonts w:cs="Times New Roman"/>
          <w:szCs w:val="24"/>
        </w:rPr>
        <w:t>się, że regulacje art. 1</w:t>
      </w:r>
      <w:r>
        <w:rPr>
          <w:rFonts w:cs="Times New Roman"/>
          <w:szCs w:val="24"/>
        </w:rPr>
        <w:t>17</w:t>
      </w:r>
      <w:r w:rsidRPr="00257A48">
        <w:rPr>
          <w:rFonts w:cs="Times New Roman"/>
          <w:szCs w:val="24"/>
        </w:rPr>
        <w:t>, dotyczące tej formy i procedury sto</w:t>
      </w:r>
      <w:r w:rsidRPr="006563D0">
        <w:rPr>
          <w:rFonts w:cs="Times New Roman"/>
          <w:szCs w:val="24"/>
        </w:rPr>
        <w:t xml:space="preserve">suje się również do wniosków o udzielenie zgody na użycie zamrożonych wartości majątkowych, złożonych na podstawie przepisów unijnych. </w:t>
      </w:r>
    </w:p>
    <w:p w14:paraId="0787822F" w14:textId="77777777" w:rsidR="003628BC" w:rsidRPr="006563D0" w:rsidRDefault="003628BC" w:rsidP="003628BC">
      <w:pPr>
        <w:spacing w:line="340" w:lineRule="atLeast"/>
        <w:rPr>
          <w:rFonts w:cs="Times New Roman"/>
          <w:szCs w:val="24"/>
        </w:rPr>
      </w:pPr>
      <w:r w:rsidRPr="00257A48">
        <w:rPr>
          <w:rFonts w:cs="Times New Roman"/>
          <w:szCs w:val="24"/>
        </w:rPr>
        <w:t>Analogicznie do przepisów UE, wprowadzono klauzulę zwalniającą podmioty dokonujące zamrożenia lub nieudostepniające wartości mają</w:t>
      </w:r>
      <w:r w:rsidRPr="006563D0">
        <w:rPr>
          <w:rFonts w:cs="Times New Roman"/>
          <w:szCs w:val="24"/>
        </w:rPr>
        <w:t>tkowych z odpowiedzialności, jeżeli działały one w dobrej wierze oraz wyłączono odpowiedzialność podmiotów udostępniających wartości majątkowe jeżeli nie wiedziały i nie miały uzasadnionego powodu, by przypuszczać, że ich działania mogą naruszyć zakaz udostępniania wartości majątkowych.</w:t>
      </w:r>
    </w:p>
    <w:p w14:paraId="7499FE2B" w14:textId="77777777" w:rsidR="003628BC" w:rsidRPr="00257A48" w:rsidRDefault="003628BC" w:rsidP="003628BC">
      <w:pPr>
        <w:spacing w:line="340" w:lineRule="atLeast"/>
        <w:rPr>
          <w:rFonts w:cs="Times New Roman"/>
          <w:szCs w:val="24"/>
        </w:rPr>
      </w:pPr>
      <w:r>
        <w:rPr>
          <w:rFonts w:cs="Times New Roman"/>
          <w:szCs w:val="24"/>
        </w:rPr>
        <w:t xml:space="preserve">Przepisy Rozdziału 11 projektu regulują zasady kontroli przestrzegania przez instytucje obowiązane przepisów o przeciwdziałaniu praniu pieniędzy oraz finansowaniu terroryzmu. </w:t>
      </w:r>
      <w:r w:rsidRPr="005942A4">
        <w:rPr>
          <w:rFonts w:cs="Times New Roman"/>
          <w:szCs w:val="24"/>
        </w:rPr>
        <w:t xml:space="preserve">Zaproponowane zmiany uwzględniają dotychczasowe doświadczenia. </w:t>
      </w:r>
      <w:r>
        <w:rPr>
          <w:rFonts w:cs="Times New Roman"/>
          <w:szCs w:val="24"/>
        </w:rPr>
        <w:t>W</w:t>
      </w:r>
      <w:r w:rsidRPr="005942A4">
        <w:rPr>
          <w:rFonts w:cs="Times New Roman"/>
          <w:szCs w:val="24"/>
        </w:rPr>
        <w:t xml:space="preserve"> stosunku do obecnych rozwiązań są znaczące i</w:t>
      </w:r>
      <w:r>
        <w:rPr>
          <w:rFonts w:cs="Times New Roman"/>
          <w:szCs w:val="24"/>
        </w:rPr>
        <w:t xml:space="preserve"> obejmują m.in</w:t>
      </w:r>
      <w:r w:rsidRPr="002E495D">
        <w:rPr>
          <w:rFonts w:cs="Times New Roman"/>
          <w:szCs w:val="24"/>
        </w:rPr>
        <w:t xml:space="preserve">: </w:t>
      </w:r>
    </w:p>
    <w:p w14:paraId="52B8A132" w14:textId="77777777" w:rsidR="003628BC" w:rsidRPr="002E495D" w:rsidRDefault="003628BC" w:rsidP="003628BC">
      <w:pPr>
        <w:pStyle w:val="Akapitzlist"/>
        <w:numPr>
          <w:ilvl w:val="0"/>
          <w:numId w:val="9"/>
        </w:numPr>
        <w:spacing w:line="340" w:lineRule="atLeast"/>
        <w:rPr>
          <w:rFonts w:cs="Times New Roman"/>
          <w:szCs w:val="24"/>
        </w:rPr>
      </w:pPr>
      <w:r w:rsidRPr="006563D0">
        <w:rPr>
          <w:rFonts w:cs="Times New Roman"/>
          <w:szCs w:val="24"/>
        </w:rPr>
        <w:t>rozszerz</w:t>
      </w:r>
      <w:r>
        <w:rPr>
          <w:rFonts w:cs="Times New Roman"/>
          <w:szCs w:val="24"/>
        </w:rPr>
        <w:t>enie</w:t>
      </w:r>
      <w:r w:rsidRPr="002E495D">
        <w:rPr>
          <w:rFonts w:cs="Times New Roman"/>
          <w:szCs w:val="24"/>
        </w:rPr>
        <w:t xml:space="preserve"> miejsc</w:t>
      </w:r>
      <w:r>
        <w:rPr>
          <w:rFonts w:cs="Times New Roman"/>
          <w:szCs w:val="24"/>
        </w:rPr>
        <w:t>a</w:t>
      </w:r>
      <w:r w:rsidRPr="002E495D">
        <w:rPr>
          <w:rFonts w:cs="Times New Roman"/>
          <w:szCs w:val="24"/>
        </w:rPr>
        <w:t xml:space="preserve"> i czas</w:t>
      </w:r>
      <w:r>
        <w:rPr>
          <w:rFonts w:cs="Times New Roman"/>
          <w:szCs w:val="24"/>
        </w:rPr>
        <w:t>u</w:t>
      </w:r>
      <w:r w:rsidRPr="00207355">
        <w:rPr>
          <w:rFonts w:cs="Times New Roman"/>
          <w:szCs w:val="24"/>
        </w:rPr>
        <w:t xml:space="preserve"> przeprowadzania czynności kontrolnych,</w:t>
      </w:r>
    </w:p>
    <w:p w14:paraId="100CD275" w14:textId="77777777" w:rsidR="003628BC" w:rsidRPr="002E495D" w:rsidRDefault="003628BC" w:rsidP="003628BC">
      <w:pPr>
        <w:pStyle w:val="Akapitzlist"/>
        <w:numPr>
          <w:ilvl w:val="0"/>
          <w:numId w:val="9"/>
        </w:numPr>
        <w:spacing w:line="340" w:lineRule="atLeast"/>
        <w:rPr>
          <w:rFonts w:cs="Times New Roman"/>
          <w:szCs w:val="24"/>
        </w:rPr>
      </w:pPr>
      <w:r w:rsidRPr="00257A48">
        <w:rPr>
          <w:rFonts w:cs="Times New Roman"/>
          <w:szCs w:val="24"/>
        </w:rPr>
        <w:t>rozszerz</w:t>
      </w:r>
      <w:r>
        <w:rPr>
          <w:rFonts w:cs="Times New Roman"/>
          <w:szCs w:val="24"/>
        </w:rPr>
        <w:t>enie</w:t>
      </w:r>
      <w:r w:rsidRPr="002E495D">
        <w:rPr>
          <w:rFonts w:cs="Times New Roman"/>
          <w:szCs w:val="24"/>
        </w:rPr>
        <w:t xml:space="preserve"> katalog</w:t>
      </w:r>
      <w:r>
        <w:rPr>
          <w:rFonts w:cs="Times New Roman"/>
          <w:szCs w:val="24"/>
        </w:rPr>
        <w:t>u</w:t>
      </w:r>
      <w:r w:rsidRPr="00207355">
        <w:rPr>
          <w:rFonts w:cs="Times New Roman"/>
          <w:szCs w:val="24"/>
        </w:rPr>
        <w:t xml:space="preserve"> podmiotów uprawnionych do przeprowadzenia kontroli,</w:t>
      </w:r>
    </w:p>
    <w:p w14:paraId="56F29D6E" w14:textId="77777777" w:rsidR="003628BC" w:rsidRPr="002E495D" w:rsidRDefault="003628BC" w:rsidP="003628BC">
      <w:pPr>
        <w:pStyle w:val="Akapitzlist"/>
        <w:numPr>
          <w:ilvl w:val="0"/>
          <w:numId w:val="9"/>
        </w:numPr>
        <w:spacing w:line="340" w:lineRule="atLeast"/>
        <w:rPr>
          <w:rFonts w:cs="Times New Roman"/>
          <w:szCs w:val="24"/>
        </w:rPr>
      </w:pPr>
      <w:r w:rsidRPr="00257A48">
        <w:rPr>
          <w:rFonts w:cs="Times New Roman"/>
          <w:szCs w:val="24"/>
        </w:rPr>
        <w:t>rozszerz</w:t>
      </w:r>
      <w:r>
        <w:rPr>
          <w:rFonts w:cs="Times New Roman"/>
          <w:szCs w:val="24"/>
        </w:rPr>
        <w:t>enie</w:t>
      </w:r>
      <w:r w:rsidRPr="002E495D">
        <w:rPr>
          <w:rFonts w:cs="Times New Roman"/>
          <w:szCs w:val="24"/>
        </w:rPr>
        <w:t xml:space="preserve"> katalog</w:t>
      </w:r>
      <w:r>
        <w:rPr>
          <w:rFonts w:cs="Times New Roman"/>
          <w:szCs w:val="24"/>
        </w:rPr>
        <w:t>u</w:t>
      </w:r>
      <w:r w:rsidRPr="00207355">
        <w:rPr>
          <w:rFonts w:cs="Times New Roman"/>
          <w:szCs w:val="24"/>
        </w:rPr>
        <w:t xml:space="preserve"> podmiotów uprawnionych do nakładania sankcji administracyjnych,</w:t>
      </w:r>
    </w:p>
    <w:p w14:paraId="348E7761" w14:textId="77777777" w:rsidR="003628BC" w:rsidRPr="00257A48" w:rsidRDefault="003628BC" w:rsidP="003628BC">
      <w:pPr>
        <w:pStyle w:val="Akapitzlist"/>
        <w:numPr>
          <w:ilvl w:val="0"/>
          <w:numId w:val="9"/>
        </w:numPr>
        <w:spacing w:line="340" w:lineRule="atLeast"/>
        <w:rPr>
          <w:rFonts w:cs="Times New Roman"/>
          <w:szCs w:val="24"/>
        </w:rPr>
      </w:pPr>
      <w:r w:rsidRPr="002E495D">
        <w:rPr>
          <w:rFonts w:cs="Times New Roman"/>
          <w:szCs w:val="24"/>
        </w:rPr>
        <w:t>wprowadz</w:t>
      </w:r>
      <w:r>
        <w:rPr>
          <w:rFonts w:cs="Times New Roman"/>
          <w:szCs w:val="24"/>
        </w:rPr>
        <w:t>enie</w:t>
      </w:r>
      <w:r w:rsidRPr="002E495D">
        <w:rPr>
          <w:rFonts w:cs="Times New Roman"/>
          <w:szCs w:val="24"/>
        </w:rPr>
        <w:t xml:space="preserve"> możliwoś</w:t>
      </w:r>
      <w:r>
        <w:rPr>
          <w:rFonts w:cs="Times New Roman"/>
          <w:szCs w:val="24"/>
        </w:rPr>
        <w:t>ci</w:t>
      </w:r>
      <w:r w:rsidRPr="002E495D">
        <w:rPr>
          <w:rFonts w:cs="Times New Roman"/>
          <w:szCs w:val="24"/>
        </w:rPr>
        <w:t xml:space="preserve"> przeprowadzenia kontroli wspólnej G</w:t>
      </w:r>
      <w:r>
        <w:rPr>
          <w:rFonts w:cs="Times New Roman"/>
          <w:szCs w:val="24"/>
        </w:rPr>
        <w:t xml:space="preserve">eneralnego </w:t>
      </w:r>
      <w:r w:rsidRPr="00207355">
        <w:rPr>
          <w:rFonts w:cs="Times New Roman"/>
          <w:szCs w:val="24"/>
        </w:rPr>
        <w:t>I</w:t>
      </w:r>
      <w:r>
        <w:rPr>
          <w:rFonts w:cs="Times New Roman"/>
          <w:szCs w:val="24"/>
        </w:rPr>
        <w:t>nspektora</w:t>
      </w:r>
      <w:r w:rsidRPr="00207355">
        <w:rPr>
          <w:rFonts w:cs="Times New Roman"/>
          <w:szCs w:val="24"/>
        </w:rPr>
        <w:t xml:space="preserve"> z </w:t>
      </w:r>
      <w:r>
        <w:rPr>
          <w:rFonts w:cs="Times New Roman"/>
          <w:szCs w:val="24"/>
        </w:rPr>
        <w:t xml:space="preserve">innymi </w:t>
      </w:r>
      <w:r w:rsidRPr="00207355">
        <w:rPr>
          <w:rFonts w:cs="Times New Roman"/>
          <w:szCs w:val="24"/>
        </w:rPr>
        <w:t xml:space="preserve">podmiotami </w:t>
      </w:r>
      <w:r>
        <w:rPr>
          <w:rFonts w:cs="Times New Roman"/>
          <w:szCs w:val="24"/>
        </w:rPr>
        <w:t>uprawnionymi do przeprowadzenia kontroli</w:t>
      </w:r>
      <w:r w:rsidRPr="002E495D">
        <w:rPr>
          <w:rFonts w:cs="Times New Roman"/>
          <w:szCs w:val="24"/>
        </w:rPr>
        <w:t>,</w:t>
      </w:r>
    </w:p>
    <w:p w14:paraId="588685B9" w14:textId="77777777" w:rsidR="003628BC" w:rsidRPr="00257A48" w:rsidRDefault="003628BC" w:rsidP="003628BC">
      <w:pPr>
        <w:pStyle w:val="Akapitzlist"/>
        <w:numPr>
          <w:ilvl w:val="0"/>
          <w:numId w:val="9"/>
        </w:numPr>
        <w:spacing w:line="340" w:lineRule="atLeast"/>
        <w:rPr>
          <w:rFonts w:cs="Times New Roman"/>
          <w:szCs w:val="24"/>
        </w:rPr>
      </w:pPr>
      <w:r w:rsidRPr="003B19B0">
        <w:rPr>
          <w:rFonts w:cs="Times New Roman"/>
          <w:szCs w:val="24"/>
        </w:rPr>
        <w:t>wprowadzen</w:t>
      </w:r>
      <w:r>
        <w:rPr>
          <w:rFonts w:cs="Times New Roman"/>
          <w:szCs w:val="24"/>
        </w:rPr>
        <w:t>ie</w:t>
      </w:r>
      <w:r w:rsidRPr="002E495D">
        <w:rPr>
          <w:rFonts w:cs="Times New Roman"/>
          <w:szCs w:val="24"/>
        </w:rPr>
        <w:t xml:space="preserve"> możliwoś</w:t>
      </w:r>
      <w:r>
        <w:rPr>
          <w:rFonts w:cs="Times New Roman"/>
          <w:szCs w:val="24"/>
        </w:rPr>
        <w:t>ci</w:t>
      </w:r>
      <w:r w:rsidRPr="002E495D">
        <w:rPr>
          <w:rFonts w:cs="Times New Roman"/>
          <w:szCs w:val="24"/>
        </w:rPr>
        <w:t xml:space="preserve"> zlecania przez G</w:t>
      </w:r>
      <w:r>
        <w:rPr>
          <w:rFonts w:cs="Times New Roman"/>
          <w:szCs w:val="24"/>
        </w:rPr>
        <w:t xml:space="preserve">eneralnego </w:t>
      </w:r>
      <w:r w:rsidRPr="00207355">
        <w:rPr>
          <w:rFonts w:cs="Times New Roman"/>
          <w:szCs w:val="24"/>
        </w:rPr>
        <w:t>I</w:t>
      </w:r>
      <w:r>
        <w:rPr>
          <w:rFonts w:cs="Times New Roman"/>
          <w:szCs w:val="24"/>
        </w:rPr>
        <w:t>nspektora przeprowadzenia kontroli innym organom</w:t>
      </w:r>
      <w:r w:rsidRPr="002E495D">
        <w:rPr>
          <w:rFonts w:cs="Times New Roman"/>
          <w:szCs w:val="24"/>
        </w:rPr>
        <w:t>,</w:t>
      </w:r>
    </w:p>
    <w:p w14:paraId="3BC500F8" w14:textId="77777777" w:rsidR="003628BC" w:rsidRPr="006563D0" w:rsidRDefault="003628BC" w:rsidP="003628BC">
      <w:pPr>
        <w:pStyle w:val="Akapitzlist"/>
        <w:numPr>
          <w:ilvl w:val="0"/>
          <w:numId w:val="9"/>
        </w:numPr>
        <w:spacing w:line="340" w:lineRule="atLeast"/>
        <w:rPr>
          <w:rFonts w:cs="Times New Roman"/>
          <w:szCs w:val="24"/>
        </w:rPr>
      </w:pPr>
      <w:r w:rsidRPr="00257A48">
        <w:rPr>
          <w:rFonts w:cs="Times New Roman"/>
          <w:szCs w:val="24"/>
        </w:rPr>
        <w:t>doprecyzowan</w:t>
      </w:r>
      <w:r>
        <w:rPr>
          <w:rFonts w:cs="Times New Roman"/>
          <w:szCs w:val="24"/>
        </w:rPr>
        <w:t>ie oraz</w:t>
      </w:r>
      <w:r w:rsidRPr="002E495D">
        <w:rPr>
          <w:rFonts w:cs="Times New Roman"/>
          <w:szCs w:val="24"/>
        </w:rPr>
        <w:t xml:space="preserve"> uszczegółowi</w:t>
      </w:r>
      <w:r>
        <w:rPr>
          <w:rFonts w:cs="Times New Roman"/>
          <w:szCs w:val="24"/>
        </w:rPr>
        <w:t>enie</w:t>
      </w:r>
      <w:r w:rsidRPr="002E495D">
        <w:rPr>
          <w:rFonts w:cs="Times New Roman"/>
          <w:szCs w:val="24"/>
        </w:rPr>
        <w:t xml:space="preserve"> zasad</w:t>
      </w:r>
      <w:r w:rsidRPr="00257A48">
        <w:rPr>
          <w:rFonts w:cs="Times New Roman"/>
          <w:szCs w:val="24"/>
        </w:rPr>
        <w:t>, tryb</w:t>
      </w:r>
      <w:r>
        <w:rPr>
          <w:rFonts w:cs="Times New Roman"/>
          <w:szCs w:val="24"/>
        </w:rPr>
        <w:t>u</w:t>
      </w:r>
      <w:r w:rsidRPr="00207355">
        <w:rPr>
          <w:rFonts w:cs="Times New Roman"/>
          <w:szCs w:val="24"/>
        </w:rPr>
        <w:t xml:space="preserve"> przeprowadzania postępowania kontroli</w:t>
      </w:r>
      <w:r>
        <w:rPr>
          <w:rFonts w:cs="Times New Roman"/>
          <w:szCs w:val="24"/>
        </w:rPr>
        <w:t>, w tym określania</w:t>
      </w:r>
      <w:r w:rsidRPr="002E495D">
        <w:rPr>
          <w:rFonts w:cs="Times New Roman"/>
          <w:szCs w:val="24"/>
        </w:rPr>
        <w:t xml:space="preserve"> dat</w:t>
      </w:r>
      <w:r>
        <w:rPr>
          <w:rFonts w:cs="Times New Roman"/>
          <w:szCs w:val="24"/>
        </w:rPr>
        <w:t>y</w:t>
      </w:r>
      <w:r w:rsidRPr="002E495D">
        <w:rPr>
          <w:rFonts w:cs="Times New Roman"/>
          <w:szCs w:val="24"/>
        </w:rPr>
        <w:t xml:space="preserve"> wszczęcia kontroli, </w:t>
      </w:r>
      <w:r w:rsidRPr="00257A48">
        <w:rPr>
          <w:rFonts w:cs="Times New Roman"/>
          <w:szCs w:val="24"/>
        </w:rPr>
        <w:t>przesłan</w:t>
      </w:r>
      <w:r>
        <w:rPr>
          <w:rFonts w:cs="Times New Roman"/>
          <w:szCs w:val="24"/>
        </w:rPr>
        <w:t>ek pozwalających na odstąpienie od zawiadamiania</w:t>
      </w:r>
      <w:r w:rsidRPr="002E495D">
        <w:rPr>
          <w:rFonts w:cs="Times New Roman"/>
          <w:szCs w:val="24"/>
        </w:rPr>
        <w:t xml:space="preserve"> </w:t>
      </w:r>
      <w:r w:rsidRPr="006563D0">
        <w:rPr>
          <w:rFonts w:cs="Times New Roman"/>
          <w:szCs w:val="24"/>
        </w:rPr>
        <w:t>o zamiarze wszczęcia kontroli, wprowadz</w:t>
      </w:r>
      <w:r>
        <w:rPr>
          <w:rFonts w:cs="Times New Roman"/>
          <w:szCs w:val="24"/>
        </w:rPr>
        <w:t>enie</w:t>
      </w:r>
      <w:r w:rsidRPr="002E495D">
        <w:rPr>
          <w:rFonts w:cs="Times New Roman"/>
          <w:szCs w:val="24"/>
        </w:rPr>
        <w:t xml:space="preserve"> możliwoś</w:t>
      </w:r>
      <w:r>
        <w:rPr>
          <w:rFonts w:cs="Times New Roman"/>
          <w:szCs w:val="24"/>
        </w:rPr>
        <w:t>ci</w:t>
      </w:r>
      <w:r w:rsidRPr="002E495D">
        <w:rPr>
          <w:rFonts w:cs="Times New Roman"/>
          <w:szCs w:val="24"/>
        </w:rPr>
        <w:t xml:space="preserve"> wyłączenia kontrolera, rozszerz</w:t>
      </w:r>
      <w:r>
        <w:rPr>
          <w:rFonts w:cs="Times New Roman"/>
          <w:szCs w:val="24"/>
        </w:rPr>
        <w:t>enie</w:t>
      </w:r>
      <w:r w:rsidRPr="002E495D">
        <w:rPr>
          <w:rFonts w:cs="Times New Roman"/>
          <w:szCs w:val="24"/>
        </w:rPr>
        <w:t xml:space="preserve"> katalog</w:t>
      </w:r>
      <w:r>
        <w:rPr>
          <w:rFonts w:cs="Times New Roman"/>
          <w:szCs w:val="24"/>
        </w:rPr>
        <w:t>u</w:t>
      </w:r>
      <w:r w:rsidRPr="00207355">
        <w:rPr>
          <w:rFonts w:cs="Times New Roman"/>
          <w:szCs w:val="24"/>
        </w:rPr>
        <w:t xml:space="preserve"> uprawnień kontrolera, wprowadz</w:t>
      </w:r>
      <w:r>
        <w:rPr>
          <w:rFonts w:cs="Times New Roman"/>
          <w:szCs w:val="24"/>
        </w:rPr>
        <w:t>enie</w:t>
      </w:r>
      <w:r w:rsidRPr="002E495D">
        <w:rPr>
          <w:rFonts w:cs="Times New Roman"/>
          <w:szCs w:val="24"/>
        </w:rPr>
        <w:t xml:space="preserve"> </w:t>
      </w:r>
      <w:r>
        <w:rPr>
          <w:rFonts w:cs="Times New Roman"/>
          <w:szCs w:val="24"/>
        </w:rPr>
        <w:t>możliwości</w:t>
      </w:r>
      <w:r w:rsidRPr="002E495D">
        <w:rPr>
          <w:rFonts w:cs="Times New Roman"/>
          <w:szCs w:val="24"/>
        </w:rPr>
        <w:t xml:space="preserve"> nakładania kar porządkowych, wprowadz</w:t>
      </w:r>
      <w:r>
        <w:rPr>
          <w:rFonts w:cs="Times New Roman"/>
          <w:szCs w:val="24"/>
        </w:rPr>
        <w:t>enie</w:t>
      </w:r>
      <w:r w:rsidRPr="002E495D">
        <w:rPr>
          <w:rFonts w:cs="Times New Roman"/>
          <w:szCs w:val="24"/>
        </w:rPr>
        <w:t xml:space="preserve"> możliwoś</w:t>
      </w:r>
      <w:r>
        <w:rPr>
          <w:rFonts w:cs="Times New Roman"/>
          <w:szCs w:val="24"/>
        </w:rPr>
        <w:t>ci</w:t>
      </w:r>
      <w:r w:rsidRPr="002E495D">
        <w:rPr>
          <w:rFonts w:cs="Times New Roman"/>
          <w:szCs w:val="24"/>
        </w:rPr>
        <w:t xml:space="preserve"> przeprowadzenia dodatkowych czynności kontrolnych, oraz możliwoś</w:t>
      </w:r>
      <w:r>
        <w:rPr>
          <w:rFonts w:cs="Times New Roman"/>
          <w:szCs w:val="24"/>
        </w:rPr>
        <w:t>ci</w:t>
      </w:r>
      <w:r w:rsidRPr="002E495D">
        <w:rPr>
          <w:rFonts w:cs="Times New Roman"/>
          <w:szCs w:val="24"/>
        </w:rPr>
        <w:t xml:space="preserve"> odstąpienia od przeprowadzenia czynności kontrolnych oraz zawieszenia czynności kontrolnych</w:t>
      </w:r>
      <w:r w:rsidRPr="00257A48">
        <w:rPr>
          <w:rFonts w:cs="Times New Roman"/>
          <w:szCs w:val="24"/>
        </w:rPr>
        <w:t>,</w:t>
      </w:r>
    </w:p>
    <w:p w14:paraId="0FC3001D" w14:textId="77777777" w:rsidR="003628BC" w:rsidRPr="002E495D" w:rsidRDefault="003628BC" w:rsidP="003628BC">
      <w:pPr>
        <w:pStyle w:val="Akapitzlist"/>
        <w:numPr>
          <w:ilvl w:val="0"/>
          <w:numId w:val="9"/>
        </w:numPr>
        <w:spacing w:line="340" w:lineRule="atLeast"/>
        <w:rPr>
          <w:rFonts w:cs="Times New Roman"/>
          <w:szCs w:val="24"/>
        </w:rPr>
      </w:pPr>
      <w:r w:rsidRPr="006563D0">
        <w:rPr>
          <w:rFonts w:cs="Times New Roman"/>
          <w:szCs w:val="24"/>
        </w:rPr>
        <w:t>wyłącz</w:t>
      </w:r>
      <w:r>
        <w:rPr>
          <w:rFonts w:cs="Times New Roman"/>
          <w:szCs w:val="24"/>
        </w:rPr>
        <w:t>enie</w:t>
      </w:r>
      <w:r w:rsidRPr="002E495D">
        <w:rPr>
          <w:rFonts w:cs="Times New Roman"/>
          <w:szCs w:val="24"/>
        </w:rPr>
        <w:t xml:space="preserve"> stosowani</w:t>
      </w:r>
      <w:r>
        <w:rPr>
          <w:rFonts w:cs="Times New Roman"/>
          <w:szCs w:val="24"/>
        </w:rPr>
        <w:t>a</w:t>
      </w:r>
      <w:r w:rsidRPr="002E495D">
        <w:rPr>
          <w:rFonts w:cs="Times New Roman"/>
          <w:szCs w:val="24"/>
        </w:rPr>
        <w:t xml:space="preserve"> do kontroli przepisów rozdziału V ustawy z 2 lipca 2004 r. </w:t>
      </w:r>
      <w:r w:rsidRPr="006563D0">
        <w:rPr>
          <w:rFonts w:cs="Times New Roman"/>
          <w:i/>
          <w:szCs w:val="24"/>
        </w:rPr>
        <w:t>o swobodzie działalności gospodarczej</w:t>
      </w:r>
      <w:r w:rsidRPr="00207355">
        <w:rPr>
          <w:rFonts w:cs="Times New Roman"/>
          <w:szCs w:val="24"/>
        </w:rPr>
        <w:t>,</w:t>
      </w:r>
    </w:p>
    <w:p w14:paraId="46E82017" w14:textId="77777777" w:rsidR="003628BC" w:rsidRPr="006563D0" w:rsidRDefault="003628BC" w:rsidP="003628BC">
      <w:pPr>
        <w:pStyle w:val="Akapitzlist"/>
        <w:numPr>
          <w:ilvl w:val="0"/>
          <w:numId w:val="9"/>
        </w:numPr>
        <w:spacing w:line="340" w:lineRule="atLeast"/>
        <w:rPr>
          <w:rFonts w:cs="Times New Roman"/>
          <w:szCs w:val="24"/>
        </w:rPr>
      </w:pPr>
      <w:r>
        <w:rPr>
          <w:rFonts w:cs="Times New Roman"/>
          <w:szCs w:val="24"/>
        </w:rPr>
        <w:t xml:space="preserve">wprowadzenie odniesienia w sprawach </w:t>
      </w:r>
      <w:r w:rsidRPr="002E495D">
        <w:rPr>
          <w:rFonts w:cs="Times New Roman"/>
          <w:szCs w:val="24"/>
        </w:rPr>
        <w:t xml:space="preserve">nieuregulowanych niniejszą ustawą wprowadzono </w:t>
      </w:r>
      <w:r w:rsidRPr="00257A48">
        <w:rPr>
          <w:rFonts w:cs="Times New Roman"/>
          <w:szCs w:val="24"/>
        </w:rPr>
        <w:t xml:space="preserve">do odpowiedniego stosowania enumeratywnie wymienionych przepisów ustawy </w:t>
      </w:r>
      <w:r w:rsidRPr="006563D0">
        <w:rPr>
          <w:rFonts w:cs="Times New Roman"/>
          <w:i/>
          <w:szCs w:val="24"/>
        </w:rPr>
        <w:t>o Krajowej Administracji Skarbowej</w:t>
      </w:r>
      <w:r w:rsidRPr="00207355">
        <w:rPr>
          <w:rFonts w:cs="Times New Roman"/>
          <w:szCs w:val="24"/>
        </w:rPr>
        <w:t xml:space="preserve"> oraz </w:t>
      </w:r>
      <w:r w:rsidRPr="006563D0">
        <w:rPr>
          <w:rFonts w:cs="Times New Roman"/>
          <w:i/>
          <w:szCs w:val="24"/>
        </w:rPr>
        <w:t>Ordynacji podatkowej</w:t>
      </w:r>
      <w:r w:rsidRPr="002E495D">
        <w:rPr>
          <w:rFonts w:cs="Times New Roman"/>
          <w:szCs w:val="24"/>
        </w:rPr>
        <w:t>.</w:t>
      </w:r>
    </w:p>
    <w:p w14:paraId="5223FE1A" w14:textId="77777777" w:rsidR="003628BC" w:rsidRDefault="003628BC" w:rsidP="003628BC">
      <w:pPr>
        <w:spacing w:line="340" w:lineRule="atLeast"/>
      </w:pPr>
      <w:r>
        <w:lastRenderedPageBreak/>
        <w:t xml:space="preserve">Przepisy Rozdziału 12 wprowadzają do projektu ustawy przepisy Dyrektywy 2015/849 dotyczące kar administracyjnych nakładanych na instytucje obowiązane za naruszenie </w:t>
      </w:r>
      <w:r w:rsidRPr="00586683">
        <w:t>przepisów o przeciwdziałaniu praniu pieniędzy oraz finansowaniu terroryzmu</w:t>
      </w:r>
      <w:r>
        <w:t>.</w:t>
      </w:r>
    </w:p>
    <w:p w14:paraId="49D80CED" w14:textId="77777777" w:rsidR="003628BC" w:rsidRPr="00F76E01" w:rsidRDefault="003628BC" w:rsidP="003628BC">
      <w:pPr>
        <w:spacing w:line="340" w:lineRule="atLeast"/>
      </w:pPr>
      <w:r w:rsidRPr="00F76E01">
        <w:t>Podstawowe zmiany to:</w:t>
      </w:r>
    </w:p>
    <w:p w14:paraId="0074C601" w14:textId="77777777" w:rsidR="003628BC" w:rsidRDefault="003628BC" w:rsidP="003628BC">
      <w:pPr>
        <w:numPr>
          <w:ilvl w:val="0"/>
          <w:numId w:val="10"/>
        </w:numPr>
        <w:spacing w:line="340" w:lineRule="atLeast"/>
        <w:ind w:left="284" w:hanging="425"/>
        <w:contextualSpacing/>
      </w:pPr>
      <w:r>
        <w:t>rozszerzenie</w:t>
      </w:r>
      <w:r w:rsidRPr="00586683">
        <w:t xml:space="preserve"> katalog</w:t>
      </w:r>
      <w:r>
        <w:t>u</w:t>
      </w:r>
      <w:r w:rsidRPr="00586683">
        <w:t xml:space="preserve"> sankcji nakładanych na instytucje obowiązane</w:t>
      </w:r>
      <w:r>
        <w:t>,</w:t>
      </w:r>
    </w:p>
    <w:p w14:paraId="1ADCC90A" w14:textId="77777777" w:rsidR="003628BC" w:rsidRDefault="003628BC" w:rsidP="003628BC">
      <w:pPr>
        <w:numPr>
          <w:ilvl w:val="0"/>
          <w:numId w:val="10"/>
        </w:numPr>
        <w:spacing w:line="340" w:lineRule="atLeast"/>
        <w:ind w:left="284" w:hanging="425"/>
        <w:contextualSpacing/>
      </w:pPr>
      <w:r>
        <w:t>rozszerzenie katalogu naruszeń podlegających sankcjonowaniu,</w:t>
      </w:r>
    </w:p>
    <w:p w14:paraId="231952B6" w14:textId="77777777" w:rsidR="003628BC" w:rsidRDefault="003628BC" w:rsidP="003628BC">
      <w:pPr>
        <w:numPr>
          <w:ilvl w:val="0"/>
          <w:numId w:val="10"/>
        </w:numPr>
        <w:spacing w:line="340" w:lineRule="atLeast"/>
        <w:ind w:left="284" w:hanging="425"/>
        <w:contextualSpacing/>
      </w:pPr>
      <w:r>
        <w:t>ograniczenie stosowania sankcji wyłącznie do naruszeń o charakterze poważnym, powtarzającym się lub dokonanych</w:t>
      </w:r>
      <w:r w:rsidRPr="007F11FD">
        <w:t xml:space="preserve"> w sposób zorganizowany</w:t>
      </w:r>
      <w:r>
        <w:t>,</w:t>
      </w:r>
    </w:p>
    <w:p w14:paraId="1D86D970" w14:textId="77777777" w:rsidR="003628BC" w:rsidRDefault="003628BC" w:rsidP="003628BC">
      <w:pPr>
        <w:numPr>
          <w:ilvl w:val="0"/>
          <w:numId w:val="10"/>
        </w:numPr>
        <w:spacing w:line="340" w:lineRule="atLeast"/>
        <w:ind w:left="284" w:hanging="425"/>
        <w:contextualSpacing/>
      </w:pPr>
      <w:r>
        <w:t xml:space="preserve">uszczegółowienie przesłanek  mających wpływ na </w:t>
      </w:r>
      <w:r w:rsidRPr="007F11FD">
        <w:t>rodzaj oraz wysokość sankcji</w:t>
      </w:r>
      <w:r>
        <w:t>,</w:t>
      </w:r>
    </w:p>
    <w:p w14:paraId="59505A31" w14:textId="77777777" w:rsidR="003628BC" w:rsidRDefault="003628BC" w:rsidP="003628BC">
      <w:pPr>
        <w:numPr>
          <w:ilvl w:val="0"/>
          <w:numId w:val="10"/>
        </w:numPr>
        <w:spacing w:line="340" w:lineRule="atLeast"/>
        <w:ind w:left="284" w:hanging="425"/>
        <w:contextualSpacing/>
      </w:pPr>
      <w:r>
        <w:t>wprowadzenie możliwości odstąpienia od nałożenia sankcji w szczególnie uzasadnionych przypadkach,</w:t>
      </w:r>
    </w:p>
    <w:p w14:paraId="7AA0EA58" w14:textId="77777777" w:rsidR="003628BC" w:rsidRDefault="003628BC" w:rsidP="003628BC">
      <w:pPr>
        <w:numPr>
          <w:ilvl w:val="0"/>
          <w:numId w:val="10"/>
        </w:numPr>
        <w:spacing w:line="340" w:lineRule="atLeast"/>
        <w:ind w:left="284" w:hanging="425"/>
        <w:contextualSpacing/>
      </w:pPr>
      <w:r>
        <w:t>wprowadzenie możliwości nałożenia kary pieniężnej na osoby sprawujące funkcje zarządcze w instytucjach obowiązanych,</w:t>
      </w:r>
    </w:p>
    <w:p w14:paraId="0A4B20B7" w14:textId="77777777" w:rsidR="003628BC" w:rsidRDefault="003628BC" w:rsidP="003628BC">
      <w:pPr>
        <w:numPr>
          <w:ilvl w:val="0"/>
          <w:numId w:val="10"/>
        </w:numPr>
        <w:spacing w:line="340" w:lineRule="atLeast"/>
        <w:ind w:left="284" w:hanging="425"/>
        <w:contextualSpacing/>
      </w:pPr>
      <w:r>
        <w:t>określenie zasad upowszechniania informacji o nałożonych sankcjach,</w:t>
      </w:r>
    </w:p>
    <w:p w14:paraId="7F32D1EF" w14:textId="77777777" w:rsidR="003628BC" w:rsidRDefault="003628BC" w:rsidP="003628BC">
      <w:pPr>
        <w:numPr>
          <w:ilvl w:val="0"/>
          <w:numId w:val="10"/>
        </w:numPr>
        <w:spacing w:line="340" w:lineRule="atLeast"/>
        <w:ind w:left="284" w:hanging="425"/>
        <w:contextualSpacing/>
      </w:pPr>
      <w:r>
        <w:t>przyznanie kompetencji do nakładania sankcji wszystkim organom uprawnionym do prowadzenie kontroli przestrzegania przepisów o przeciwdziałaniu praniu pieniędzy oraz finansowaniu terroryzmu.</w:t>
      </w:r>
    </w:p>
    <w:p w14:paraId="5BACCCA3" w14:textId="77777777" w:rsidR="003628BC" w:rsidRDefault="003628BC" w:rsidP="003628BC">
      <w:pPr>
        <w:spacing w:line="340" w:lineRule="atLeast"/>
        <w:contextualSpacing/>
      </w:pPr>
      <w:r>
        <w:t>Katalog sankcji, dostosowany do wymogów wynikających z art. 59 Dyrektywy określony jest w art. 139 ust. 1-3 projektu. Katalog naruszeń przepisów ustawy podlegających sankcjonowaniu określono w art. 136 ust. 1. Sankcjonowaniu podlegają również wskazane w art. 137 naruszenia przepisów rozporządzenia 2015/847. Zgodnie z przepisami Dyrektywy 2015/849 sankcjonowaniu podlegać będą wyłącznie naruszenia przepisów ustawy o charakterze</w:t>
      </w:r>
      <w:r w:rsidRPr="00E94D46">
        <w:t xml:space="preserve"> poważnym, </w:t>
      </w:r>
      <w:r>
        <w:t>powtarzającym się lub dokonane</w:t>
      </w:r>
      <w:r w:rsidRPr="00E94D46">
        <w:t xml:space="preserve"> w sposób zorganizowany</w:t>
      </w:r>
      <w:r>
        <w:t>. W art. 139 ust. 4 zawarto przesłanki, którymi powinien kierować się organ nakładający sankcję, przy ustaleniu rodzaju oraz wysokości sankcji. Przewidziano, również możliwość odstąpienia od nałożenia sankcji w szczególnie uzasadnionych przypadkach. Proponuje się przyznanie uprawnienia do nakładania sankcji za naruszenie przepisów ustawy wszystkim organom uprawnionym do kontroli ich przestrzegania. Propozycja oparta jest na doświadczeniach związanych ze stosowaniem dotychczasowych przepisów Rozdziału 7a ustawy o p.p.p.f.t., z których wynika, że przyznanie tych uprawnień wyłącznie Generalnemu Inspektorowi jest nieefektywne, a ponadto negatywnie wpływa na możliwości Generalnego Inspektora w zakresie prowadzenia postępowań kontrolnych. W art. 141 przewidziano, wynikającą z art. 60 ust. 1-3 Dyrektywy 2015/8489 procedurę upubliczniania informacji o nałożonych sankcjach.</w:t>
      </w:r>
    </w:p>
    <w:p w14:paraId="0F336B26" w14:textId="77777777" w:rsidR="003628BC" w:rsidRDefault="003628BC" w:rsidP="003628BC">
      <w:pPr>
        <w:spacing w:line="340" w:lineRule="atLeast"/>
        <w:contextualSpacing/>
      </w:pPr>
      <w:r>
        <w:t>Art. 143 implementuje do projektu ustawy wymogi wynikające z art. 58 ust. 3 Dyrektywy 2015/849 i dopuszcza możliwość nałożenia w stosowanych przypadkach kary pieniężnej na osoby pełniące funkcje zarządcze w instytucjach obowiązanych. Art. 142 sankcjonuje naruszenie obowiązku przekazania informacji do Centralnego</w:t>
      </w:r>
      <w:r w:rsidRPr="002B4D42">
        <w:t xml:space="preserve"> Rejestr</w:t>
      </w:r>
      <w:r>
        <w:t>u</w:t>
      </w:r>
      <w:r w:rsidRPr="002B4D42">
        <w:t xml:space="preserve"> Beneficjentów Rzeczywistych </w:t>
      </w:r>
      <w:r>
        <w:t xml:space="preserve">przez podmioty do tego zobowiązane. </w:t>
      </w:r>
    </w:p>
    <w:p w14:paraId="42A253CA" w14:textId="77777777" w:rsidR="003628BC" w:rsidRDefault="003628BC" w:rsidP="003628BC">
      <w:pPr>
        <w:spacing w:line="340" w:lineRule="atLeast"/>
        <w:contextualSpacing/>
      </w:pPr>
    </w:p>
    <w:p w14:paraId="6875550E" w14:textId="77777777" w:rsidR="003628BC" w:rsidRDefault="003628BC" w:rsidP="003628BC">
      <w:pPr>
        <w:spacing w:line="340" w:lineRule="atLeast"/>
        <w:contextualSpacing/>
      </w:pPr>
      <w:r>
        <w:lastRenderedPageBreak/>
        <w:t xml:space="preserve">Rozdziała 13 zawiera przepis karny. Ze względu na fakt rozszerzenia katalogu kar administracyjnych w porównaniu z obowiązującym stanem prawnym zdecydowano się na ograniczenie przepisów karnych. Karze podlegać będzie ten kto umyślnie nie dopełni obowiązków </w:t>
      </w:r>
      <w:r w:rsidRPr="00562836">
        <w:t>przekazania informacji lub dokumentów</w:t>
      </w:r>
      <w:r>
        <w:t>, o których  określonych art. 68, art. 69</w:t>
      </w:r>
      <w:r w:rsidRPr="00562836">
        <w:t>,</w:t>
      </w:r>
      <w:r>
        <w:t xml:space="preserve"> art. 72 i art. 81, </w:t>
      </w:r>
      <w:r w:rsidRPr="00562836">
        <w:t>przek</w:t>
      </w:r>
      <w:r>
        <w:t>aże G</w:t>
      </w:r>
      <w:r w:rsidRPr="00562836">
        <w:t>eneralnemu Inspektorowi nieprawdziwe</w:t>
      </w:r>
      <w:r>
        <w:t xml:space="preserve"> dane</w:t>
      </w:r>
      <w:r w:rsidRPr="00562836">
        <w:t xml:space="preserve"> lub zata</w:t>
      </w:r>
      <w:r>
        <w:t xml:space="preserve">i prawdziwe, </w:t>
      </w:r>
      <w:r w:rsidRPr="00562836">
        <w:t>udostępni</w:t>
      </w:r>
      <w:r>
        <w:t xml:space="preserve"> </w:t>
      </w:r>
      <w:r w:rsidRPr="00562836">
        <w:t>informacje zgromadzone zgodnie z upoważnieniem ustawy osobom nieuprawnionym do ich uzyskania</w:t>
      </w:r>
      <w:r>
        <w:t xml:space="preserve">. Projekt nie przewiduje zmiany wysokości wymiaru kary w porównaniu do aktualnie obowiązującego w przepisach ustawy o p.p.p.f.t.  </w:t>
      </w:r>
    </w:p>
    <w:p w14:paraId="784CF0C5" w14:textId="77777777" w:rsidR="003628BC" w:rsidRDefault="003628BC" w:rsidP="003628BC">
      <w:pPr>
        <w:spacing w:line="340" w:lineRule="atLeast"/>
        <w:contextualSpacing/>
      </w:pPr>
    </w:p>
    <w:p w14:paraId="3ABDAAFB" w14:textId="77777777" w:rsidR="003628BC" w:rsidRDefault="003628BC" w:rsidP="003628BC">
      <w:pPr>
        <w:spacing w:line="340" w:lineRule="atLeast"/>
        <w:contextualSpacing/>
      </w:pPr>
      <w:r>
        <w:t xml:space="preserve">W Rozdziale 14 określono zmiany w przepisach innych ustaw. Proponowane przepisy stanowią konsekwencję rozwiązań zawartych w projekcie ustawy. Obejmują m.in. umożliwienie sprawowania kontroli przestrzegania przepisów ustawy przez stowarzyszenia, posiadające status instytucji obowiązanych (zmiana ustawy z dnia 7 kwietnia 1989 r. – Prawo o stowarzyszeniach) oraz pozbawienie Generalnego Inspektora kompetencji do wydawania postanowienia w postępowaniu kwalifikacyjnego, o którym mowa w art. 49a ust. 10 ustawy z dnia 9 czerwca 2011 r. Prawo geologiczne i górnicze. Ta ostatnia zmian podyktowana jest faktem, że Generalny Inspektor nie dysponuje możliwościami prawnymi, ani faktycznymi pozwalającymi na ocenę czy, podmiot </w:t>
      </w:r>
      <w:r w:rsidRPr="00265B94">
        <w:t>znajduje się pod kontrolą korporacyjną państwa trzeciego, podmiotu lub obywatela państwa trzeciego, a w przypadku znajdowania się pod taką kontrolą, czy kontrola ta może zagrażać bezpieczeństwu państwa</w:t>
      </w:r>
      <w:r>
        <w:t xml:space="preserve">. Dodatkowo projekt ustawy dokonuje zmiany zmienia w przepisach ustawy z dnia 27 maja 2004 r. o funduszach inwestycyjnych  i zarządzaniu alternatywnymi funduszami inwestycyjnymi. Konieczność ich wprowadzenia podyktowana jest faktem, wykazania w trakcie trwających w ostatnim czasie  kontroli realizowanych przez Urząd Komisji Nadzoru Finansowego nieprawidłowości w towarzystwach inwestycyjnych, które dotyczyły posiadanych przez te podmioty wewnętrznych procedurach w zakresie przeciwdziałania prania pieniędzy oraz finansowania terroryzmu. Zgodnie z obowiązującym stanem prawnym obowiązek posiadania procedury w zakresie prania pieniędzy oraz finansowania terroryzmu  wynika z ustawy o p.p.p.f.t. Powyższy obowiązek nie jest precyzowany w innych aktach  prawnych w zakresu działalności funduszy  i towarzystw  inwestycyjnych, w szczególności  brak jest takiej regulacji w ustawie z dnia 27 maja 2004 r. o funduszach inwestycyjnych i zarządzaniu alternatywnymi funduszami inwestycyjnymi. W związku z powyższym kontrola prawidłowości tych procedur  pod kątem zgodności z zasadami przeciwdziałania praniu pieniędzy oraz finansowaniu terroryzmu może być przeprowadzana dopiero na etapie kontrolowania działalności podmiotu. Jak się jednak wydaje  kontrola tego rodzaju powinna być  przeprowadzana już na etapie procesu licencyjnego towarzystwa funduszy inwestycyjnych. </w:t>
      </w:r>
    </w:p>
    <w:p w14:paraId="19552AF0" w14:textId="77777777" w:rsidR="003628BC" w:rsidRDefault="003628BC" w:rsidP="003628BC">
      <w:pPr>
        <w:spacing w:line="340" w:lineRule="atLeast"/>
        <w:contextualSpacing/>
      </w:pPr>
      <w:r>
        <w:t xml:space="preserve">Ponadto zmianie ulega art. 43 ust. 2 ustawy z dnia 29 sierpnia 1997 r. o ochronie danych osobowych poprzez ograniczenie uprawnień Generalnego Inspektora Ochrony Danych Osobowych, w zakresie art. 12 pkt 2  i art. 14 pkt 1i 3-5 oraz art. 15-18. </w:t>
      </w:r>
    </w:p>
    <w:p w14:paraId="4600F2C4" w14:textId="3C3101B9" w:rsidR="00462A37" w:rsidRPr="009F192D" w:rsidRDefault="003628BC" w:rsidP="0033339E">
      <w:pPr>
        <w:spacing w:line="340" w:lineRule="atLeast"/>
        <w:rPr>
          <w:rFonts w:cs="Times New Roman"/>
          <w:szCs w:val="24"/>
        </w:rPr>
      </w:pPr>
      <w:r>
        <w:lastRenderedPageBreak/>
        <w:t>W Rozdziale 15 przewidziano przepisy przejściowe regulujące zasady stosowania przepisów ustawy o p.p.p.f.t do postępowań wszczętych przed dniem wejścia w życie ustawy. Przyjęto założenie, że do czasu wydania nowych przepisów wykonawczych, ale nie dłużej niż przez 18 miesięcy od dnia wejścia w życie ustawy akty wykonawcze wydane na podstawie przepisów ustawy o p.p.p.f.t. zostaną zachowane w mocy. Rozwiązanie takie podyktowane jest koniecznością wdrożenia właściwych rozwiązań informatycznych. Przewidziano, że ustawa, poza przepisami dotyczącymi gromadzenia informacji o beneficjentach rzeczywistych wejdzie w życie w terminie 3 miesięcy do dnia ogłoszenia.</w:t>
      </w:r>
    </w:p>
    <w:sectPr w:rsidR="00462A37" w:rsidRPr="009F19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A1455" w14:textId="77777777" w:rsidR="00C110DD" w:rsidRDefault="00C110DD" w:rsidP="00FB21F7">
      <w:pPr>
        <w:spacing w:before="0" w:after="0"/>
      </w:pPr>
      <w:r>
        <w:separator/>
      </w:r>
    </w:p>
  </w:endnote>
  <w:endnote w:type="continuationSeparator" w:id="0">
    <w:p w14:paraId="49C0F6CA" w14:textId="77777777" w:rsidR="00C110DD" w:rsidRDefault="00C110DD" w:rsidP="00FB21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650192329"/>
      <w:docPartObj>
        <w:docPartGallery w:val="Page Numbers (Bottom of Page)"/>
        <w:docPartUnique/>
      </w:docPartObj>
    </w:sdtPr>
    <w:sdtEndPr/>
    <w:sdtContent>
      <w:p w14:paraId="39CC0C74" w14:textId="77777777" w:rsidR="00AD37A5" w:rsidRPr="00FB21F7" w:rsidRDefault="00AD37A5" w:rsidP="00FB21F7">
        <w:pPr>
          <w:pStyle w:val="Stopka"/>
          <w:jc w:val="right"/>
          <w:rPr>
            <w:rFonts w:asciiTheme="majorHAnsi" w:eastAsiaTheme="majorEastAsia" w:hAnsiTheme="majorHAnsi" w:cstheme="majorBidi"/>
            <w:sz w:val="20"/>
            <w:szCs w:val="20"/>
          </w:rPr>
        </w:pPr>
        <w:r w:rsidRPr="00FB21F7">
          <w:rPr>
            <w:rFonts w:asciiTheme="majorHAnsi" w:eastAsiaTheme="majorEastAsia" w:hAnsiTheme="majorHAnsi" w:cstheme="majorBidi"/>
            <w:sz w:val="20"/>
            <w:szCs w:val="20"/>
          </w:rPr>
          <w:t xml:space="preserve">str. </w:t>
        </w:r>
        <w:r w:rsidRPr="00FB21F7">
          <w:rPr>
            <w:rFonts w:asciiTheme="minorHAnsi" w:eastAsiaTheme="minorEastAsia" w:hAnsiTheme="minorHAnsi"/>
            <w:sz w:val="20"/>
            <w:szCs w:val="20"/>
          </w:rPr>
          <w:fldChar w:fldCharType="begin"/>
        </w:r>
        <w:r w:rsidRPr="00FB21F7">
          <w:rPr>
            <w:sz w:val="20"/>
            <w:szCs w:val="20"/>
          </w:rPr>
          <w:instrText>PAGE    \* MERGEFORMAT</w:instrText>
        </w:r>
        <w:r w:rsidRPr="00FB21F7">
          <w:rPr>
            <w:rFonts w:asciiTheme="minorHAnsi" w:eastAsiaTheme="minorEastAsia" w:hAnsiTheme="minorHAnsi"/>
            <w:sz w:val="20"/>
            <w:szCs w:val="20"/>
          </w:rPr>
          <w:fldChar w:fldCharType="separate"/>
        </w:r>
        <w:r w:rsidR="00EE18D1" w:rsidRPr="00EE18D1">
          <w:rPr>
            <w:rFonts w:asciiTheme="majorHAnsi" w:eastAsiaTheme="majorEastAsia" w:hAnsiTheme="majorHAnsi" w:cstheme="majorBidi"/>
            <w:noProof/>
            <w:sz w:val="20"/>
            <w:szCs w:val="20"/>
          </w:rPr>
          <w:t>4</w:t>
        </w:r>
        <w:r w:rsidRPr="00FB21F7">
          <w:rPr>
            <w:rFonts w:asciiTheme="majorHAnsi" w:eastAsiaTheme="majorEastAsia" w:hAnsiTheme="majorHAnsi" w:cstheme="majorBid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B1088" w14:textId="77777777" w:rsidR="00C110DD" w:rsidRDefault="00C110DD" w:rsidP="00FB21F7">
      <w:pPr>
        <w:spacing w:before="0" w:after="0"/>
      </w:pPr>
      <w:r>
        <w:separator/>
      </w:r>
    </w:p>
  </w:footnote>
  <w:footnote w:type="continuationSeparator" w:id="0">
    <w:p w14:paraId="13FFE659" w14:textId="77777777" w:rsidR="00C110DD" w:rsidRDefault="00C110DD" w:rsidP="00FB21F7">
      <w:pPr>
        <w:spacing w:before="0" w:after="0"/>
      </w:pPr>
      <w:r>
        <w:continuationSeparator/>
      </w:r>
    </w:p>
  </w:footnote>
  <w:footnote w:id="1">
    <w:p w14:paraId="54CAD91C" w14:textId="22AC5EC0" w:rsidR="00AD37A5" w:rsidRDefault="00AD37A5">
      <w:pPr>
        <w:pStyle w:val="Tekstprzypisudolnego"/>
      </w:pPr>
      <w:r>
        <w:rPr>
          <w:rStyle w:val="Odwoanieprzypisudolnego"/>
        </w:rPr>
        <w:footnoteRef/>
      </w:r>
      <w:r>
        <w:t xml:space="preserve"> Użyte pojęcie jest dosłownym tłumaczeniem pojęcia „virtual currencies” stosowanego przez FATF dla określenia walut niebędących prawnymi środkami płatniczymi i obejmującego zarówno kryptowaluty (takie jak np. Bitcoin, Monero, Litecoin itp.), jak również scentralizowane waluty wirtualne (takie jak np. WebMoney czy PerfectMoney). Zgodnie z klasyfikacją FATF „virtual currencies” wraz z </w:t>
      </w:r>
      <w:r w:rsidRPr="00B219F6">
        <w:rPr>
          <w:i/>
        </w:rPr>
        <w:t>e-money</w:t>
      </w:r>
      <w:r>
        <w:t xml:space="preserve"> należą do tzw. „digital currencies”. Pojęcie „virtual currencies” zostało zastosowane też w projekcie Dyrektywy zmieniającej Dyrektywę 2015/849.</w:t>
      </w:r>
    </w:p>
  </w:footnote>
  <w:footnote w:id="2">
    <w:p w14:paraId="63569F4E" w14:textId="11FF4B75" w:rsidR="00AD37A5" w:rsidRDefault="00AD37A5">
      <w:pPr>
        <w:pStyle w:val="Tekstprzypisudolnego"/>
      </w:pPr>
      <w:r>
        <w:rPr>
          <w:rStyle w:val="Odwoanieprzypisudolnego"/>
        </w:rPr>
        <w:footnoteRef/>
      </w:r>
      <w:r>
        <w:t xml:space="preserve"> Scentralizowana waluta wirtualna posiada jednego centralnego administratora, który zarządza ich wydawaniem i dystrybucją, a także prowadzi centralny rejestr płatności i posiada uprawnienie do wykupu jednostek danej waluty wirtualnej.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FAC"/>
    <w:multiLevelType w:val="hybridMultilevel"/>
    <w:tmpl w:val="261A1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752EF2"/>
    <w:multiLevelType w:val="hybridMultilevel"/>
    <w:tmpl w:val="51C8C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2A4001"/>
    <w:multiLevelType w:val="hybridMultilevel"/>
    <w:tmpl w:val="64C8AFB8"/>
    <w:lvl w:ilvl="0" w:tplc="34AAB0B8">
      <w:start w:val="1"/>
      <w:numFmt w:val="decimal"/>
      <w:lvlText w:val="%1)"/>
      <w:lvlJc w:val="left"/>
      <w:pPr>
        <w:ind w:left="720" w:hanging="360"/>
      </w:pPr>
      <w:rPr>
        <w:rFonts w:ascii="Times New Roman" w:hAnsi="Times New Roman" w:hint="default"/>
        <w:b w:val="0"/>
        <w:i w:val="0"/>
        <w:color w:val="auto"/>
        <w:sz w:val="24"/>
        <w:u w:val="none"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13408"/>
    <w:multiLevelType w:val="hybridMultilevel"/>
    <w:tmpl w:val="984644DC"/>
    <w:lvl w:ilvl="0" w:tplc="34AAB0B8">
      <w:start w:val="1"/>
      <w:numFmt w:val="decimal"/>
      <w:lvlText w:val="%1)"/>
      <w:lvlJc w:val="left"/>
      <w:pPr>
        <w:ind w:left="720" w:hanging="360"/>
      </w:pPr>
      <w:rPr>
        <w:rFonts w:ascii="Times New Roman" w:hAnsi="Times New Roman" w:hint="default"/>
        <w:b w:val="0"/>
        <w:i w:val="0"/>
        <w:color w:val="auto"/>
        <w:sz w:val="24"/>
        <w:u w:val="none"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A2A95"/>
    <w:multiLevelType w:val="hybridMultilevel"/>
    <w:tmpl w:val="CE2CF978"/>
    <w:lvl w:ilvl="0" w:tplc="CD5A7AF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0829DC"/>
    <w:multiLevelType w:val="hybridMultilevel"/>
    <w:tmpl w:val="A5E83C42"/>
    <w:lvl w:ilvl="0" w:tplc="F5600A6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BA0000"/>
    <w:multiLevelType w:val="hybridMultilevel"/>
    <w:tmpl w:val="75662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1BC755CC"/>
    <w:multiLevelType w:val="hybridMultilevel"/>
    <w:tmpl w:val="8004A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3074FD"/>
    <w:multiLevelType w:val="hybridMultilevel"/>
    <w:tmpl w:val="123E3F4C"/>
    <w:lvl w:ilvl="0" w:tplc="7D907CE2">
      <w:start w:val="1"/>
      <w:numFmt w:val="decimal"/>
      <w:lvlText w:val="%1)"/>
      <w:lvlJc w:val="left"/>
      <w:pPr>
        <w:ind w:left="720" w:hanging="360"/>
      </w:pPr>
      <w:rPr>
        <w:rFonts w:ascii="Times New Roman" w:hAnsi="Times New Roman" w:hint="default"/>
        <w:b w:val="0"/>
        <w:i w:val="0"/>
        <w:color w:val="auto"/>
        <w:sz w:val="24"/>
        <w:u w:val="none"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AA34D3"/>
    <w:multiLevelType w:val="hybridMultilevel"/>
    <w:tmpl w:val="92CE6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40134D"/>
    <w:multiLevelType w:val="hybridMultilevel"/>
    <w:tmpl w:val="5A5A92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593D78"/>
    <w:multiLevelType w:val="hybridMultilevel"/>
    <w:tmpl w:val="C40692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755599"/>
    <w:multiLevelType w:val="hybridMultilevel"/>
    <w:tmpl w:val="0C28A036"/>
    <w:lvl w:ilvl="0" w:tplc="4B64AEAA">
      <w:start w:val="7"/>
      <w:numFmt w:val="decimal"/>
      <w:lvlText w:val="%1)"/>
      <w:lvlJc w:val="left"/>
      <w:pPr>
        <w:ind w:left="720" w:hanging="360"/>
      </w:pPr>
      <w:rPr>
        <w:rFonts w:ascii="Times New Roman" w:hAnsi="Times New Roman" w:hint="default"/>
        <w:b w:val="0"/>
        <w:i w:val="0"/>
        <w:color w:val="auto"/>
        <w:sz w:val="24"/>
        <w:u w:val="none"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D663B1"/>
    <w:multiLevelType w:val="hybridMultilevel"/>
    <w:tmpl w:val="B4B8A7C0"/>
    <w:lvl w:ilvl="0" w:tplc="DEC013B6">
      <w:start w:val="1"/>
      <w:numFmt w:val="lowerLetter"/>
      <w:lvlText w:val="%1)"/>
      <w:lvlJc w:val="left"/>
      <w:pPr>
        <w:ind w:left="720" w:hanging="360"/>
      </w:pPr>
      <w:rPr>
        <w:rFonts w:ascii="Times New Roman" w:hAnsi="Times New Roman" w:hint="default"/>
        <w:b w:val="0"/>
        <w:i w:val="0"/>
        <w:sz w:val="24"/>
        <w:u w:val="none" w:color="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E0429C"/>
    <w:multiLevelType w:val="hybridMultilevel"/>
    <w:tmpl w:val="5B9CE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484CC7"/>
    <w:multiLevelType w:val="hybridMultilevel"/>
    <w:tmpl w:val="43D49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523A6F"/>
    <w:multiLevelType w:val="hybridMultilevel"/>
    <w:tmpl w:val="BCA47D52"/>
    <w:lvl w:ilvl="0" w:tplc="7EC6D7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867BED"/>
    <w:multiLevelType w:val="hybridMultilevel"/>
    <w:tmpl w:val="E9726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5F6863"/>
    <w:multiLevelType w:val="hybridMultilevel"/>
    <w:tmpl w:val="B4084914"/>
    <w:lvl w:ilvl="0" w:tplc="34AAB0B8">
      <w:start w:val="1"/>
      <w:numFmt w:val="decimal"/>
      <w:lvlText w:val="%1)"/>
      <w:lvlJc w:val="left"/>
      <w:pPr>
        <w:ind w:left="720" w:hanging="360"/>
      </w:pPr>
      <w:rPr>
        <w:rFonts w:ascii="Times New Roman" w:hAnsi="Times New Roman" w:hint="default"/>
        <w:b w:val="0"/>
        <w:i w:val="0"/>
        <w:color w:val="auto"/>
        <w:sz w:val="24"/>
        <w:u w:val="none"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7E6721"/>
    <w:multiLevelType w:val="hybridMultilevel"/>
    <w:tmpl w:val="4E6019EC"/>
    <w:lvl w:ilvl="0" w:tplc="B7363320">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1D09A2"/>
    <w:multiLevelType w:val="hybridMultilevel"/>
    <w:tmpl w:val="1F92651C"/>
    <w:lvl w:ilvl="0" w:tplc="1342446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885033"/>
    <w:multiLevelType w:val="hybridMultilevel"/>
    <w:tmpl w:val="441676CA"/>
    <w:lvl w:ilvl="0" w:tplc="8DBCD3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01382D"/>
    <w:multiLevelType w:val="hybridMultilevel"/>
    <w:tmpl w:val="0FAE07A6"/>
    <w:lvl w:ilvl="0" w:tplc="1C288A5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E701D2"/>
    <w:multiLevelType w:val="hybridMultilevel"/>
    <w:tmpl w:val="E3966EB2"/>
    <w:lvl w:ilvl="0" w:tplc="B7363320">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9DC512A"/>
    <w:multiLevelType w:val="hybridMultilevel"/>
    <w:tmpl w:val="02B06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4D1F7A"/>
    <w:multiLevelType w:val="hybridMultilevel"/>
    <w:tmpl w:val="0FE4DB64"/>
    <w:lvl w:ilvl="0" w:tplc="7B9C9F1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EB52EB"/>
    <w:multiLevelType w:val="hybridMultilevel"/>
    <w:tmpl w:val="7D8CF7B0"/>
    <w:lvl w:ilvl="0" w:tplc="DEC013B6">
      <w:start w:val="1"/>
      <w:numFmt w:val="lowerLetter"/>
      <w:lvlText w:val="%1)"/>
      <w:lvlJc w:val="left"/>
      <w:pPr>
        <w:ind w:left="720" w:hanging="360"/>
      </w:pPr>
      <w:rPr>
        <w:rFonts w:ascii="Times New Roman" w:hAnsi="Times New Roman" w:hint="default"/>
        <w:b w:val="0"/>
        <w:i w:val="0"/>
        <w:sz w:val="24"/>
        <w:u w:val="none" w:color="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832F2F"/>
    <w:multiLevelType w:val="hybridMultilevel"/>
    <w:tmpl w:val="90BE3C0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4C2CC9"/>
    <w:multiLevelType w:val="hybridMultilevel"/>
    <w:tmpl w:val="89E6C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4F5D2A"/>
    <w:multiLevelType w:val="hybridMultilevel"/>
    <w:tmpl w:val="C1FA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F82E59"/>
    <w:multiLevelType w:val="hybridMultilevel"/>
    <w:tmpl w:val="90F48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CE2709"/>
    <w:multiLevelType w:val="hybridMultilevel"/>
    <w:tmpl w:val="82B004F6"/>
    <w:lvl w:ilvl="0" w:tplc="34AAB0B8">
      <w:start w:val="1"/>
      <w:numFmt w:val="decimal"/>
      <w:lvlText w:val="%1)"/>
      <w:lvlJc w:val="left"/>
      <w:pPr>
        <w:ind w:left="720" w:hanging="360"/>
      </w:pPr>
      <w:rPr>
        <w:rFonts w:ascii="Times New Roman" w:hAnsi="Times New Roman" w:hint="default"/>
        <w:b w:val="0"/>
        <w:i w:val="0"/>
        <w:color w:val="auto"/>
        <w:sz w:val="24"/>
        <w:u w:val="none"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264BE5"/>
    <w:multiLevelType w:val="hybridMultilevel"/>
    <w:tmpl w:val="A80C7C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EA52EE3"/>
    <w:multiLevelType w:val="hybridMultilevel"/>
    <w:tmpl w:val="D0586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C3553A"/>
    <w:multiLevelType w:val="hybridMultilevel"/>
    <w:tmpl w:val="C9508C2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0F31C26"/>
    <w:multiLevelType w:val="hybridMultilevel"/>
    <w:tmpl w:val="9F587694"/>
    <w:lvl w:ilvl="0" w:tplc="34AAB0B8">
      <w:start w:val="1"/>
      <w:numFmt w:val="decimal"/>
      <w:lvlText w:val="%1)"/>
      <w:lvlJc w:val="left"/>
      <w:pPr>
        <w:ind w:left="720" w:hanging="360"/>
      </w:pPr>
      <w:rPr>
        <w:rFonts w:ascii="Times New Roman" w:hAnsi="Times New Roman" w:hint="default"/>
        <w:b w:val="0"/>
        <w:i w:val="0"/>
        <w:color w:val="auto"/>
        <w:sz w:val="24"/>
        <w:u w:val="none" w:color="FFFFFF" w:themeColor="background1"/>
      </w:rPr>
    </w:lvl>
    <w:lvl w:ilvl="1" w:tplc="080E4E1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186515"/>
    <w:multiLevelType w:val="hybridMultilevel"/>
    <w:tmpl w:val="5E6832E0"/>
    <w:lvl w:ilvl="0" w:tplc="B7363320">
      <w:start w:val="1"/>
      <w:numFmt w:val="bullet"/>
      <w:lvlText w:val=""/>
      <w:lvlJc w:val="left"/>
      <w:pPr>
        <w:ind w:left="1065" w:hanging="705"/>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1B1B5C"/>
    <w:multiLevelType w:val="hybridMultilevel"/>
    <w:tmpl w:val="9176D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6310EF1"/>
    <w:multiLevelType w:val="hybridMultilevel"/>
    <w:tmpl w:val="ECD420B4"/>
    <w:lvl w:ilvl="0" w:tplc="DEC013B6">
      <w:start w:val="1"/>
      <w:numFmt w:val="lowerLetter"/>
      <w:lvlText w:val="%1)"/>
      <w:lvlJc w:val="left"/>
      <w:pPr>
        <w:ind w:left="720" w:hanging="360"/>
      </w:pPr>
      <w:rPr>
        <w:rFonts w:ascii="Times New Roman" w:hAnsi="Times New Roman" w:hint="default"/>
        <w:b w:val="0"/>
        <w:i w:val="0"/>
        <w:sz w:val="24"/>
        <w:u w:val="none" w:color="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D818C7"/>
    <w:multiLevelType w:val="hybridMultilevel"/>
    <w:tmpl w:val="7BAA8A7C"/>
    <w:lvl w:ilvl="0" w:tplc="B7363320">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4F3377"/>
    <w:multiLevelType w:val="hybridMultilevel"/>
    <w:tmpl w:val="4F8E6BBA"/>
    <w:lvl w:ilvl="0" w:tplc="34AAB0B8">
      <w:start w:val="1"/>
      <w:numFmt w:val="decimal"/>
      <w:lvlText w:val="%1)"/>
      <w:lvlJc w:val="left"/>
      <w:pPr>
        <w:ind w:left="720" w:hanging="360"/>
      </w:pPr>
      <w:rPr>
        <w:rFonts w:ascii="Times New Roman" w:hAnsi="Times New Roman" w:hint="default"/>
        <w:b w:val="0"/>
        <w:i w:val="0"/>
        <w:color w:val="auto"/>
        <w:sz w:val="24"/>
        <w:u w:val="none"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8F1196"/>
    <w:multiLevelType w:val="hybridMultilevel"/>
    <w:tmpl w:val="AB4C1724"/>
    <w:lvl w:ilvl="0" w:tplc="0F1E374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31"/>
  </w:num>
  <w:num w:numId="2">
    <w:abstractNumId w:val="8"/>
  </w:num>
  <w:num w:numId="3">
    <w:abstractNumId w:val="34"/>
  </w:num>
  <w:num w:numId="4">
    <w:abstractNumId w:val="40"/>
  </w:num>
  <w:num w:numId="5">
    <w:abstractNumId w:val="38"/>
  </w:num>
  <w:num w:numId="6">
    <w:abstractNumId w:val="20"/>
  </w:num>
  <w:num w:numId="7">
    <w:abstractNumId w:val="37"/>
  </w:num>
  <w:num w:numId="8">
    <w:abstractNumId w:val="7"/>
  </w:num>
  <w:num w:numId="9">
    <w:abstractNumId w:val="24"/>
  </w:num>
  <w:num w:numId="10">
    <w:abstractNumId w:val="9"/>
  </w:num>
  <w:num w:numId="11">
    <w:abstractNumId w:val="6"/>
  </w:num>
  <w:num w:numId="12">
    <w:abstractNumId w:val="17"/>
  </w:num>
  <w:num w:numId="13">
    <w:abstractNumId w:val="32"/>
  </w:num>
  <w:num w:numId="14">
    <w:abstractNumId w:val="15"/>
  </w:num>
  <w:num w:numId="15">
    <w:abstractNumId w:val="4"/>
  </w:num>
  <w:num w:numId="16">
    <w:abstractNumId w:val="25"/>
  </w:num>
  <w:num w:numId="17">
    <w:abstractNumId w:val="26"/>
  </w:num>
  <w:num w:numId="18">
    <w:abstractNumId w:val="41"/>
  </w:num>
  <w:num w:numId="19">
    <w:abstractNumId w:val="1"/>
  </w:num>
  <w:num w:numId="20">
    <w:abstractNumId w:val="22"/>
  </w:num>
  <w:num w:numId="21">
    <w:abstractNumId w:val="16"/>
  </w:num>
  <w:num w:numId="22">
    <w:abstractNumId w:val="5"/>
  </w:num>
  <w:num w:numId="23">
    <w:abstractNumId w:val="2"/>
  </w:num>
  <w:num w:numId="24">
    <w:abstractNumId w:val="13"/>
  </w:num>
  <w:num w:numId="25">
    <w:abstractNumId w:val="3"/>
  </w:num>
  <w:num w:numId="26">
    <w:abstractNumId w:val="42"/>
  </w:num>
  <w:num w:numId="27">
    <w:abstractNumId w:val="19"/>
  </w:num>
  <w:num w:numId="28">
    <w:abstractNumId w:val="21"/>
  </w:num>
  <w:num w:numId="29">
    <w:abstractNumId w:val="29"/>
  </w:num>
  <w:num w:numId="30">
    <w:abstractNumId w:val="36"/>
  </w:num>
  <w:num w:numId="31">
    <w:abstractNumId w:val="0"/>
  </w:num>
  <w:num w:numId="32">
    <w:abstractNumId w:val="23"/>
  </w:num>
  <w:num w:numId="33">
    <w:abstractNumId w:val="11"/>
  </w:num>
  <w:num w:numId="34">
    <w:abstractNumId w:val="28"/>
  </w:num>
  <w:num w:numId="35">
    <w:abstractNumId w:val="33"/>
  </w:num>
  <w:num w:numId="36">
    <w:abstractNumId w:val="12"/>
  </w:num>
  <w:num w:numId="37">
    <w:abstractNumId w:val="35"/>
  </w:num>
  <w:num w:numId="38">
    <w:abstractNumId w:val="10"/>
  </w:num>
  <w:num w:numId="39">
    <w:abstractNumId w:val="39"/>
  </w:num>
  <w:num w:numId="40">
    <w:abstractNumId w:val="27"/>
  </w:num>
  <w:num w:numId="41">
    <w:abstractNumId w:val="14"/>
  </w:num>
  <w:num w:numId="42">
    <w:abstractNumId w:val="3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45"/>
    <w:rsid w:val="000024C6"/>
    <w:rsid w:val="00010699"/>
    <w:rsid w:val="000131CD"/>
    <w:rsid w:val="00013878"/>
    <w:rsid w:val="0002756E"/>
    <w:rsid w:val="00045BE7"/>
    <w:rsid w:val="0005195C"/>
    <w:rsid w:val="000545D6"/>
    <w:rsid w:val="00070704"/>
    <w:rsid w:val="000733EF"/>
    <w:rsid w:val="000775C6"/>
    <w:rsid w:val="000826E9"/>
    <w:rsid w:val="00091D53"/>
    <w:rsid w:val="000947BF"/>
    <w:rsid w:val="00097DDC"/>
    <w:rsid w:val="000A03D8"/>
    <w:rsid w:val="000B1932"/>
    <w:rsid w:val="000B22DD"/>
    <w:rsid w:val="000C3116"/>
    <w:rsid w:val="000D61AC"/>
    <w:rsid w:val="000E2E45"/>
    <w:rsid w:val="000E3D93"/>
    <w:rsid w:val="000F4EA5"/>
    <w:rsid w:val="001054A9"/>
    <w:rsid w:val="00114A65"/>
    <w:rsid w:val="0012403A"/>
    <w:rsid w:val="00131EE9"/>
    <w:rsid w:val="00134019"/>
    <w:rsid w:val="00134A98"/>
    <w:rsid w:val="001370BB"/>
    <w:rsid w:val="001405B1"/>
    <w:rsid w:val="001414C1"/>
    <w:rsid w:val="0014533C"/>
    <w:rsid w:val="001506A6"/>
    <w:rsid w:val="0015231B"/>
    <w:rsid w:val="001556A7"/>
    <w:rsid w:val="0018330A"/>
    <w:rsid w:val="001834F6"/>
    <w:rsid w:val="00185471"/>
    <w:rsid w:val="0018558F"/>
    <w:rsid w:val="001924CA"/>
    <w:rsid w:val="00197554"/>
    <w:rsid w:val="001A524B"/>
    <w:rsid w:val="001B74F7"/>
    <w:rsid w:val="001C06E8"/>
    <w:rsid w:val="001C7AB8"/>
    <w:rsid w:val="001D2197"/>
    <w:rsid w:val="001D2332"/>
    <w:rsid w:val="001D25C9"/>
    <w:rsid w:val="001D6140"/>
    <w:rsid w:val="001E6BAF"/>
    <w:rsid w:val="00203CEC"/>
    <w:rsid w:val="00205FAA"/>
    <w:rsid w:val="00207355"/>
    <w:rsid w:val="0022378A"/>
    <w:rsid w:val="00223A28"/>
    <w:rsid w:val="00226E0B"/>
    <w:rsid w:val="002407A9"/>
    <w:rsid w:val="00242058"/>
    <w:rsid w:val="00257261"/>
    <w:rsid w:val="00257A48"/>
    <w:rsid w:val="002635E3"/>
    <w:rsid w:val="00265B94"/>
    <w:rsid w:val="00266763"/>
    <w:rsid w:val="002668B9"/>
    <w:rsid w:val="00270146"/>
    <w:rsid w:val="002743D7"/>
    <w:rsid w:val="00280FB1"/>
    <w:rsid w:val="00284835"/>
    <w:rsid w:val="00286240"/>
    <w:rsid w:val="00297E5E"/>
    <w:rsid w:val="002A3E5D"/>
    <w:rsid w:val="002A564A"/>
    <w:rsid w:val="002A7368"/>
    <w:rsid w:val="002C3FB9"/>
    <w:rsid w:val="002D087B"/>
    <w:rsid w:val="002D4959"/>
    <w:rsid w:val="002D6A50"/>
    <w:rsid w:val="002E26BB"/>
    <w:rsid w:val="002E4462"/>
    <w:rsid w:val="002E495D"/>
    <w:rsid w:val="002E5BFB"/>
    <w:rsid w:val="002E6524"/>
    <w:rsid w:val="002E66F8"/>
    <w:rsid w:val="002E7567"/>
    <w:rsid w:val="0030217C"/>
    <w:rsid w:val="00305489"/>
    <w:rsid w:val="0031264F"/>
    <w:rsid w:val="00317AE9"/>
    <w:rsid w:val="00317B72"/>
    <w:rsid w:val="00320097"/>
    <w:rsid w:val="00322CE9"/>
    <w:rsid w:val="0033339E"/>
    <w:rsid w:val="003375B2"/>
    <w:rsid w:val="00342CE8"/>
    <w:rsid w:val="00350633"/>
    <w:rsid w:val="0035418D"/>
    <w:rsid w:val="00357714"/>
    <w:rsid w:val="00360F55"/>
    <w:rsid w:val="003618E4"/>
    <w:rsid w:val="003620BD"/>
    <w:rsid w:val="003628BC"/>
    <w:rsid w:val="00375625"/>
    <w:rsid w:val="00377769"/>
    <w:rsid w:val="00381F25"/>
    <w:rsid w:val="003822EC"/>
    <w:rsid w:val="00382C73"/>
    <w:rsid w:val="0039765F"/>
    <w:rsid w:val="003A34DC"/>
    <w:rsid w:val="003A4588"/>
    <w:rsid w:val="003B19B0"/>
    <w:rsid w:val="003B5F01"/>
    <w:rsid w:val="003C0761"/>
    <w:rsid w:val="003D73EC"/>
    <w:rsid w:val="003F3D80"/>
    <w:rsid w:val="003F5F8C"/>
    <w:rsid w:val="00401818"/>
    <w:rsid w:val="0041070A"/>
    <w:rsid w:val="00422A25"/>
    <w:rsid w:val="00430F1F"/>
    <w:rsid w:val="00431994"/>
    <w:rsid w:val="00436DCC"/>
    <w:rsid w:val="00437686"/>
    <w:rsid w:val="00452A78"/>
    <w:rsid w:val="00460008"/>
    <w:rsid w:val="0046115A"/>
    <w:rsid w:val="00461BB1"/>
    <w:rsid w:val="00462A37"/>
    <w:rsid w:val="004647B9"/>
    <w:rsid w:val="00466561"/>
    <w:rsid w:val="004803DD"/>
    <w:rsid w:val="004A238E"/>
    <w:rsid w:val="004A2D48"/>
    <w:rsid w:val="004A3A6A"/>
    <w:rsid w:val="004A51F8"/>
    <w:rsid w:val="004A7638"/>
    <w:rsid w:val="004C47C6"/>
    <w:rsid w:val="004C480D"/>
    <w:rsid w:val="004C63B7"/>
    <w:rsid w:val="004C6F51"/>
    <w:rsid w:val="004C7B34"/>
    <w:rsid w:val="004D6693"/>
    <w:rsid w:val="004E7038"/>
    <w:rsid w:val="0050564C"/>
    <w:rsid w:val="005060F2"/>
    <w:rsid w:val="00507911"/>
    <w:rsid w:val="0051141C"/>
    <w:rsid w:val="005143C8"/>
    <w:rsid w:val="00543014"/>
    <w:rsid w:val="00550796"/>
    <w:rsid w:val="00563A20"/>
    <w:rsid w:val="00573536"/>
    <w:rsid w:val="00573F72"/>
    <w:rsid w:val="005861D5"/>
    <w:rsid w:val="00587051"/>
    <w:rsid w:val="005927E2"/>
    <w:rsid w:val="00593323"/>
    <w:rsid w:val="005942A4"/>
    <w:rsid w:val="00594AAF"/>
    <w:rsid w:val="005A3C3A"/>
    <w:rsid w:val="005B09A3"/>
    <w:rsid w:val="005B0CD6"/>
    <w:rsid w:val="005C4B8A"/>
    <w:rsid w:val="005C585A"/>
    <w:rsid w:val="005D0D34"/>
    <w:rsid w:val="005D17C2"/>
    <w:rsid w:val="005D58D8"/>
    <w:rsid w:val="005F1814"/>
    <w:rsid w:val="005F2A6C"/>
    <w:rsid w:val="005F41C8"/>
    <w:rsid w:val="0061541F"/>
    <w:rsid w:val="00617FB7"/>
    <w:rsid w:val="00627020"/>
    <w:rsid w:val="00631F85"/>
    <w:rsid w:val="00641C64"/>
    <w:rsid w:val="00643B5D"/>
    <w:rsid w:val="00651032"/>
    <w:rsid w:val="00651952"/>
    <w:rsid w:val="006563D0"/>
    <w:rsid w:val="00660658"/>
    <w:rsid w:val="006657A5"/>
    <w:rsid w:val="00674498"/>
    <w:rsid w:val="00676833"/>
    <w:rsid w:val="00693F8B"/>
    <w:rsid w:val="00697FE4"/>
    <w:rsid w:val="006A5D54"/>
    <w:rsid w:val="006B0B4F"/>
    <w:rsid w:val="006B26E5"/>
    <w:rsid w:val="006B63A1"/>
    <w:rsid w:val="006B6B81"/>
    <w:rsid w:val="006C42FB"/>
    <w:rsid w:val="006D0375"/>
    <w:rsid w:val="006D3B5F"/>
    <w:rsid w:val="006E1C98"/>
    <w:rsid w:val="006F3752"/>
    <w:rsid w:val="006F3CE2"/>
    <w:rsid w:val="006F4D85"/>
    <w:rsid w:val="007029CF"/>
    <w:rsid w:val="007111EA"/>
    <w:rsid w:val="0071239F"/>
    <w:rsid w:val="007158F0"/>
    <w:rsid w:val="0072553F"/>
    <w:rsid w:val="00727FCC"/>
    <w:rsid w:val="00746A14"/>
    <w:rsid w:val="00747256"/>
    <w:rsid w:val="00751803"/>
    <w:rsid w:val="00756F03"/>
    <w:rsid w:val="00762204"/>
    <w:rsid w:val="0076687D"/>
    <w:rsid w:val="00776F39"/>
    <w:rsid w:val="00782466"/>
    <w:rsid w:val="00785103"/>
    <w:rsid w:val="00785A9F"/>
    <w:rsid w:val="0079662C"/>
    <w:rsid w:val="007B1A33"/>
    <w:rsid w:val="007B2569"/>
    <w:rsid w:val="007B44E0"/>
    <w:rsid w:val="007B47FB"/>
    <w:rsid w:val="007B4E9A"/>
    <w:rsid w:val="007C0D3F"/>
    <w:rsid w:val="007D6836"/>
    <w:rsid w:val="007E1945"/>
    <w:rsid w:val="007E21AA"/>
    <w:rsid w:val="007E7701"/>
    <w:rsid w:val="007F4A1D"/>
    <w:rsid w:val="007F4AD0"/>
    <w:rsid w:val="007F4D97"/>
    <w:rsid w:val="00807AC0"/>
    <w:rsid w:val="0081431D"/>
    <w:rsid w:val="008235AF"/>
    <w:rsid w:val="00833B6A"/>
    <w:rsid w:val="00835800"/>
    <w:rsid w:val="0083598C"/>
    <w:rsid w:val="008408B2"/>
    <w:rsid w:val="00850282"/>
    <w:rsid w:val="00861F55"/>
    <w:rsid w:val="0087117B"/>
    <w:rsid w:val="00872764"/>
    <w:rsid w:val="00874E84"/>
    <w:rsid w:val="00880782"/>
    <w:rsid w:val="00880FB6"/>
    <w:rsid w:val="00880FC1"/>
    <w:rsid w:val="00885ED2"/>
    <w:rsid w:val="008965AD"/>
    <w:rsid w:val="008A39B2"/>
    <w:rsid w:val="008A58CB"/>
    <w:rsid w:val="008B434D"/>
    <w:rsid w:val="008B4CBB"/>
    <w:rsid w:val="008C22E3"/>
    <w:rsid w:val="008E5EFD"/>
    <w:rsid w:val="008F34A3"/>
    <w:rsid w:val="008F4EF9"/>
    <w:rsid w:val="00901281"/>
    <w:rsid w:val="0090199D"/>
    <w:rsid w:val="00904962"/>
    <w:rsid w:val="0090693B"/>
    <w:rsid w:val="00914A82"/>
    <w:rsid w:val="0092502A"/>
    <w:rsid w:val="009304D3"/>
    <w:rsid w:val="0093356F"/>
    <w:rsid w:val="00956B47"/>
    <w:rsid w:val="009617CE"/>
    <w:rsid w:val="0096244D"/>
    <w:rsid w:val="00966074"/>
    <w:rsid w:val="00967FF1"/>
    <w:rsid w:val="00982D33"/>
    <w:rsid w:val="0098667F"/>
    <w:rsid w:val="00987957"/>
    <w:rsid w:val="00992E13"/>
    <w:rsid w:val="00993EA0"/>
    <w:rsid w:val="00995431"/>
    <w:rsid w:val="009976EF"/>
    <w:rsid w:val="009B0FB2"/>
    <w:rsid w:val="009B2A79"/>
    <w:rsid w:val="009B34BA"/>
    <w:rsid w:val="009D63FF"/>
    <w:rsid w:val="009F192D"/>
    <w:rsid w:val="009F4BAB"/>
    <w:rsid w:val="00A07B65"/>
    <w:rsid w:val="00A07D64"/>
    <w:rsid w:val="00A24040"/>
    <w:rsid w:val="00A24A78"/>
    <w:rsid w:val="00A26DC3"/>
    <w:rsid w:val="00A348BE"/>
    <w:rsid w:val="00A36761"/>
    <w:rsid w:val="00A36DF0"/>
    <w:rsid w:val="00A4102E"/>
    <w:rsid w:val="00A52288"/>
    <w:rsid w:val="00A52CCB"/>
    <w:rsid w:val="00A62C0E"/>
    <w:rsid w:val="00A652E6"/>
    <w:rsid w:val="00A67102"/>
    <w:rsid w:val="00A74FDB"/>
    <w:rsid w:val="00A75E92"/>
    <w:rsid w:val="00A829BF"/>
    <w:rsid w:val="00AA1321"/>
    <w:rsid w:val="00AA4898"/>
    <w:rsid w:val="00AB27B4"/>
    <w:rsid w:val="00AC019B"/>
    <w:rsid w:val="00AC673B"/>
    <w:rsid w:val="00AD37A5"/>
    <w:rsid w:val="00AD78F3"/>
    <w:rsid w:val="00AE2A99"/>
    <w:rsid w:val="00AF17D1"/>
    <w:rsid w:val="00AF192F"/>
    <w:rsid w:val="00AF2E7E"/>
    <w:rsid w:val="00AF4C72"/>
    <w:rsid w:val="00B113A4"/>
    <w:rsid w:val="00B155FA"/>
    <w:rsid w:val="00B17494"/>
    <w:rsid w:val="00B21762"/>
    <w:rsid w:val="00B219F6"/>
    <w:rsid w:val="00B311FD"/>
    <w:rsid w:val="00B329E1"/>
    <w:rsid w:val="00B34BF5"/>
    <w:rsid w:val="00B35267"/>
    <w:rsid w:val="00B3532B"/>
    <w:rsid w:val="00B37859"/>
    <w:rsid w:val="00B4344C"/>
    <w:rsid w:val="00B4534A"/>
    <w:rsid w:val="00B51CC9"/>
    <w:rsid w:val="00B54C52"/>
    <w:rsid w:val="00B5579C"/>
    <w:rsid w:val="00B65BCE"/>
    <w:rsid w:val="00B74467"/>
    <w:rsid w:val="00B82C3E"/>
    <w:rsid w:val="00BA0392"/>
    <w:rsid w:val="00BA5345"/>
    <w:rsid w:val="00BA6529"/>
    <w:rsid w:val="00BA6799"/>
    <w:rsid w:val="00BB597D"/>
    <w:rsid w:val="00BC0DAD"/>
    <w:rsid w:val="00BC133F"/>
    <w:rsid w:val="00BD7B43"/>
    <w:rsid w:val="00BE0F53"/>
    <w:rsid w:val="00BE4551"/>
    <w:rsid w:val="00BF26FE"/>
    <w:rsid w:val="00BF44EE"/>
    <w:rsid w:val="00C10150"/>
    <w:rsid w:val="00C110DD"/>
    <w:rsid w:val="00C12B11"/>
    <w:rsid w:val="00C15F6C"/>
    <w:rsid w:val="00C2319F"/>
    <w:rsid w:val="00C23325"/>
    <w:rsid w:val="00C2564D"/>
    <w:rsid w:val="00C27B19"/>
    <w:rsid w:val="00C42130"/>
    <w:rsid w:val="00C42AC6"/>
    <w:rsid w:val="00C43EE2"/>
    <w:rsid w:val="00C529C5"/>
    <w:rsid w:val="00C52B57"/>
    <w:rsid w:val="00C60D6D"/>
    <w:rsid w:val="00C63AA1"/>
    <w:rsid w:val="00C71FC8"/>
    <w:rsid w:val="00C72940"/>
    <w:rsid w:val="00C76E77"/>
    <w:rsid w:val="00C8215A"/>
    <w:rsid w:val="00C83904"/>
    <w:rsid w:val="00C839AF"/>
    <w:rsid w:val="00C873E4"/>
    <w:rsid w:val="00C91999"/>
    <w:rsid w:val="00C92FE2"/>
    <w:rsid w:val="00C9616F"/>
    <w:rsid w:val="00CA2133"/>
    <w:rsid w:val="00CA5523"/>
    <w:rsid w:val="00CB0432"/>
    <w:rsid w:val="00CC1F74"/>
    <w:rsid w:val="00CC671C"/>
    <w:rsid w:val="00CD4756"/>
    <w:rsid w:val="00CE567B"/>
    <w:rsid w:val="00CE6371"/>
    <w:rsid w:val="00CF00B1"/>
    <w:rsid w:val="00CF16BF"/>
    <w:rsid w:val="00CF3979"/>
    <w:rsid w:val="00D0086E"/>
    <w:rsid w:val="00D15D66"/>
    <w:rsid w:val="00D2110E"/>
    <w:rsid w:val="00D3011A"/>
    <w:rsid w:val="00D37134"/>
    <w:rsid w:val="00D46D4F"/>
    <w:rsid w:val="00D50B82"/>
    <w:rsid w:val="00D53A12"/>
    <w:rsid w:val="00D55C40"/>
    <w:rsid w:val="00D60A8E"/>
    <w:rsid w:val="00D62425"/>
    <w:rsid w:val="00D7205B"/>
    <w:rsid w:val="00D8291F"/>
    <w:rsid w:val="00D9463D"/>
    <w:rsid w:val="00DA1392"/>
    <w:rsid w:val="00DA1AAD"/>
    <w:rsid w:val="00DA22DC"/>
    <w:rsid w:val="00DA3EC9"/>
    <w:rsid w:val="00DB7131"/>
    <w:rsid w:val="00DC3091"/>
    <w:rsid w:val="00DC5C1C"/>
    <w:rsid w:val="00DD465B"/>
    <w:rsid w:val="00DE1460"/>
    <w:rsid w:val="00DE2D5D"/>
    <w:rsid w:val="00DF2CF9"/>
    <w:rsid w:val="00DF4505"/>
    <w:rsid w:val="00E0064C"/>
    <w:rsid w:val="00E03ECD"/>
    <w:rsid w:val="00E23E77"/>
    <w:rsid w:val="00E27E52"/>
    <w:rsid w:val="00E34583"/>
    <w:rsid w:val="00E3536D"/>
    <w:rsid w:val="00E57D1B"/>
    <w:rsid w:val="00E64551"/>
    <w:rsid w:val="00E72A6E"/>
    <w:rsid w:val="00E771C6"/>
    <w:rsid w:val="00E814F1"/>
    <w:rsid w:val="00E81D9A"/>
    <w:rsid w:val="00E87C26"/>
    <w:rsid w:val="00E95665"/>
    <w:rsid w:val="00EA0484"/>
    <w:rsid w:val="00EA3897"/>
    <w:rsid w:val="00EA3E9C"/>
    <w:rsid w:val="00EB0323"/>
    <w:rsid w:val="00EB1FFA"/>
    <w:rsid w:val="00EB4029"/>
    <w:rsid w:val="00EB5740"/>
    <w:rsid w:val="00EB67BC"/>
    <w:rsid w:val="00EC0A9A"/>
    <w:rsid w:val="00ED1062"/>
    <w:rsid w:val="00EE18D1"/>
    <w:rsid w:val="00EE1B88"/>
    <w:rsid w:val="00EE6473"/>
    <w:rsid w:val="00EF3EBD"/>
    <w:rsid w:val="00F000B3"/>
    <w:rsid w:val="00F1508B"/>
    <w:rsid w:val="00F25BAB"/>
    <w:rsid w:val="00F33B08"/>
    <w:rsid w:val="00F37EDB"/>
    <w:rsid w:val="00F41E5B"/>
    <w:rsid w:val="00F51F99"/>
    <w:rsid w:val="00F53AC3"/>
    <w:rsid w:val="00F53AC6"/>
    <w:rsid w:val="00F55599"/>
    <w:rsid w:val="00F55F47"/>
    <w:rsid w:val="00F679AD"/>
    <w:rsid w:val="00F70074"/>
    <w:rsid w:val="00F71248"/>
    <w:rsid w:val="00F85E78"/>
    <w:rsid w:val="00F87B6B"/>
    <w:rsid w:val="00F94C79"/>
    <w:rsid w:val="00F9746B"/>
    <w:rsid w:val="00F97572"/>
    <w:rsid w:val="00FA230E"/>
    <w:rsid w:val="00FA6742"/>
    <w:rsid w:val="00FB21F7"/>
    <w:rsid w:val="00FB3BA8"/>
    <w:rsid w:val="00FC2282"/>
    <w:rsid w:val="00FD1FE0"/>
    <w:rsid w:val="00FD22FF"/>
    <w:rsid w:val="00FE0EEE"/>
    <w:rsid w:val="00FE118B"/>
    <w:rsid w:val="00FF2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DBB4"/>
  <w15:docId w15:val="{F475D27A-1500-4629-A658-753F0FB4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7572"/>
    <w:pPr>
      <w:spacing w:before="120" w:after="120" w:line="240" w:lineRule="auto"/>
      <w:jc w:val="both"/>
    </w:pPr>
    <w:rPr>
      <w:rFonts w:ascii="Times New Roman" w:hAnsi="Times New Roman"/>
      <w:sz w:val="24"/>
    </w:rPr>
  </w:style>
  <w:style w:type="paragraph" w:styleId="Nagwek1">
    <w:name w:val="heading 1"/>
    <w:basedOn w:val="Normalny"/>
    <w:next w:val="Normalny"/>
    <w:link w:val="Nagwek1Znak"/>
    <w:uiPriority w:val="9"/>
    <w:qFormat/>
    <w:rsid w:val="00F97572"/>
    <w:pPr>
      <w:keepNext/>
      <w:keepLines/>
      <w:spacing w:after="360"/>
      <w:jc w:val="center"/>
      <w:outlineLvl w:val="0"/>
    </w:pPr>
    <w:rPr>
      <w:rFonts w:eastAsiaTheme="majorEastAsia"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97572"/>
    <w:pPr>
      <w:keepNext/>
      <w:keepLines/>
      <w:spacing w:before="240"/>
      <w:jc w:val="left"/>
      <w:outlineLvl w:val="1"/>
    </w:pPr>
    <w:rPr>
      <w:rFonts w:eastAsiaTheme="majorEastAsia" w:cstheme="majorBidi"/>
      <w:b/>
      <w:bCs/>
      <w:color w:val="4F81BD" w:themeColor="accent1"/>
      <w:szCs w:val="26"/>
    </w:rPr>
  </w:style>
  <w:style w:type="paragraph" w:styleId="Nagwek3">
    <w:name w:val="heading 3"/>
    <w:basedOn w:val="Normalny"/>
    <w:next w:val="Normalny"/>
    <w:link w:val="Nagwek3Znak"/>
    <w:uiPriority w:val="9"/>
    <w:unhideWhenUsed/>
    <w:qFormat/>
    <w:rsid w:val="00FB21F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5430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97572"/>
    <w:rPr>
      <w:rFonts w:ascii="Times New Roman" w:eastAsiaTheme="majorEastAsia" w:hAnsi="Times New Roman"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97572"/>
    <w:rPr>
      <w:rFonts w:ascii="Times New Roman" w:eastAsiaTheme="majorEastAsia" w:hAnsi="Times New Roman" w:cstheme="majorBidi"/>
      <w:b/>
      <w:bCs/>
      <w:color w:val="4F81BD" w:themeColor="accent1"/>
      <w:sz w:val="24"/>
      <w:szCs w:val="26"/>
    </w:rPr>
  </w:style>
  <w:style w:type="paragraph" w:styleId="Nagwek">
    <w:name w:val="header"/>
    <w:basedOn w:val="Normalny"/>
    <w:link w:val="NagwekZnak"/>
    <w:uiPriority w:val="99"/>
    <w:unhideWhenUsed/>
    <w:rsid w:val="00FB21F7"/>
    <w:pPr>
      <w:tabs>
        <w:tab w:val="center" w:pos="4536"/>
        <w:tab w:val="right" w:pos="9072"/>
      </w:tabs>
      <w:spacing w:before="0" w:after="0"/>
    </w:pPr>
  </w:style>
  <w:style w:type="character" w:customStyle="1" w:styleId="NagwekZnak">
    <w:name w:val="Nagłówek Znak"/>
    <w:basedOn w:val="Domylnaczcionkaakapitu"/>
    <w:link w:val="Nagwek"/>
    <w:uiPriority w:val="99"/>
    <w:rsid w:val="00FB21F7"/>
    <w:rPr>
      <w:rFonts w:ascii="Times New Roman" w:hAnsi="Times New Roman"/>
      <w:sz w:val="24"/>
    </w:rPr>
  </w:style>
  <w:style w:type="paragraph" w:styleId="Stopka">
    <w:name w:val="footer"/>
    <w:basedOn w:val="Normalny"/>
    <w:link w:val="StopkaZnak"/>
    <w:uiPriority w:val="99"/>
    <w:unhideWhenUsed/>
    <w:rsid w:val="00FB21F7"/>
    <w:pPr>
      <w:tabs>
        <w:tab w:val="center" w:pos="4536"/>
        <w:tab w:val="right" w:pos="9072"/>
      </w:tabs>
      <w:spacing w:before="0" w:after="0"/>
    </w:pPr>
  </w:style>
  <w:style w:type="character" w:customStyle="1" w:styleId="StopkaZnak">
    <w:name w:val="Stopka Znak"/>
    <w:basedOn w:val="Domylnaczcionkaakapitu"/>
    <w:link w:val="Stopka"/>
    <w:uiPriority w:val="99"/>
    <w:rsid w:val="00FB21F7"/>
    <w:rPr>
      <w:rFonts w:ascii="Times New Roman" w:hAnsi="Times New Roman"/>
      <w:sz w:val="24"/>
    </w:rPr>
  </w:style>
  <w:style w:type="character" w:customStyle="1" w:styleId="Nagwek3Znak">
    <w:name w:val="Nagłówek 3 Znak"/>
    <w:basedOn w:val="Domylnaczcionkaakapitu"/>
    <w:link w:val="Nagwek3"/>
    <w:uiPriority w:val="9"/>
    <w:rsid w:val="00FB21F7"/>
    <w:rPr>
      <w:rFonts w:asciiTheme="majorHAnsi" w:eastAsiaTheme="majorEastAsia" w:hAnsiTheme="majorHAnsi" w:cstheme="majorBidi"/>
      <w:b/>
      <w:bCs/>
      <w:color w:val="4F81BD" w:themeColor="accent1"/>
      <w:sz w:val="24"/>
    </w:rPr>
  </w:style>
  <w:style w:type="paragraph" w:styleId="Akapitzlist">
    <w:name w:val="List Paragraph"/>
    <w:aliases w:val="Puce,Recommendation,List Paragraph1,List Paragraph11,L,Listaszerű bekezdés1,List Paragraph à moi,Kolorowa lista — akcent 11,Numerowanie,Dot pt,F5 List Paragraph"/>
    <w:basedOn w:val="Normalny"/>
    <w:link w:val="AkapitzlistZnak"/>
    <w:uiPriority w:val="34"/>
    <w:qFormat/>
    <w:rsid w:val="00A26DC3"/>
    <w:pPr>
      <w:ind w:left="720"/>
      <w:contextualSpacing/>
    </w:pPr>
  </w:style>
  <w:style w:type="paragraph" w:styleId="Tekstprzypisukocowego">
    <w:name w:val="endnote text"/>
    <w:basedOn w:val="Normalny"/>
    <w:link w:val="TekstprzypisukocowegoZnak"/>
    <w:uiPriority w:val="99"/>
    <w:semiHidden/>
    <w:unhideWhenUsed/>
    <w:rsid w:val="00BB597D"/>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BB597D"/>
    <w:rPr>
      <w:rFonts w:ascii="Times New Roman" w:hAnsi="Times New Roman"/>
      <w:sz w:val="20"/>
      <w:szCs w:val="20"/>
    </w:rPr>
  </w:style>
  <w:style w:type="character" w:styleId="Odwoanieprzypisukocowego">
    <w:name w:val="endnote reference"/>
    <w:basedOn w:val="Domylnaczcionkaakapitu"/>
    <w:uiPriority w:val="99"/>
    <w:semiHidden/>
    <w:unhideWhenUsed/>
    <w:rsid w:val="00BB597D"/>
    <w:rPr>
      <w:vertAlign w:val="superscript"/>
    </w:rPr>
  </w:style>
  <w:style w:type="character" w:styleId="Odwoaniedokomentarza">
    <w:name w:val="annotation reference"/>
    <w:basedOn w:val="Domylnaczcionkaakapitu"/>
    <w:uiPriority w:val="99"/>
    <w:semiHidden/>
    <w:unhideWhenUsed/>
    <w:rsid w:val="00BB597D"/>
    <w:rPr>
      <w:sz w:val="16"/>
      <w:szCs w:val="16"/>
    </w:rPr>
  </w:style>
  <w:style w:type="paragraph" w:styleId="Tekstkomentarza">
    <w:name w:val="annotation text"/>
    <w:basedOn w:val="Normalny"/>
    <w:link w:val="TekstkomentarzaZnak"/>
    <w:uiPriority w:val="99"/>
    <w:semiHidden/>
    <w:unhideWhenUsed/>
    <w:rsid w:val="00BB597D"/>
    <w:rPr>
      <w:sz w:val="20"/>
      <w:szCs w:val="20"/>
    </w:rPr>
  </w:style>
  <w:style w:type="character" w:customStyle="1" w:styleId="TekstkomentarzaZnak">
    <w:name w:val="Tekst komentarza Znak"/>
    <w:basedOn w:val="Domylnaczcionkaakapitu"/>
    <w:link w:val="Tekstkomentarza"/>
    <w:uiPriority w:val="99"/>
    <w:semiHidden/>
    <w:rsid w:val="00BB597D"/>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BB597D"/>
    <w:rPr>
      <w:b/>
      <w:bCs/>
    </w:rPr>
  </w:style>
  <w:style w:type="character" w:customStyle="1" w:styleId="TematkomentarzaZnak">
    <w:name w:val="Temat komentarza Znak"/>
    <w:basedOn w:val="TekstkomentarzaZnak"/>
    <w:link w:val="Tematkomentarza"/>
    <w:uiPriority w:val="99"/>
    <w:semiHidden/>
    <w:rsid w:val="00BB597D"/>
    <w:rPr>
      <w:rFonts w:ascii="Times New Roman" w:hAnsi="Times New Roman"/>
      <w:b/>
      <w:bCs/>
      <w:sz w:val="20"/>
      <w:szCs w:val="20"/>
    </w:rPr>
  </w:style>
  <w:style w:type="paragraph" w:styleId="Tekstdymka">
    <w:name w:val="Balloon Text"/>
    <w:basedOn w:val="Normalny"/>
    <w:link w:val="TekstdymkaZnak"/>
    <w:uiPriority w:val="99"/>
    <w:semiHidden/>
    <w:unhideWhenUsed/>
    <w:rsid w:val="00BB597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BB597D"/>
    <w:rPr>
      <w:rFonts w:ascii="Tahoma" w:hAnsi="Tahoma" w:cs="Tahoma"/>
      <w:sz w:val="16"/>
      <w:szCs w:val="16"/>
    </w:rPr>
  </w:style>
  <w:style w:type="paragraph" w:customStyle="1" w:styleId="ARTartustawynprozporzdzenia">
    <w:name w:val="ART(§) – art. ustawy (§ np. rozporządzenia)"/>
    <w:uiPriority w:val="11"/>
    <w:qFormat/>
    <w:rsid w:val="001834F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1834F6"/>
    <w:pPr>
      <w:spacing w:before="0"/>
    </w:pPr>
    <w:rPr>
      <w:bCs/>
    </w:rPr>
  </w:style>
  <w:style w:type="paragraph" w:customStyle="1" w:styleId="ODNONIKtreodnonika">
    <w:name w:val="ODNOŚNIK – treść odnośnika"/>
    <w:uiPriority w:val="19"/>
    <w:qFormat/>
    <w:rsid w:val="001834F6"/>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IGindeksgrny">
    <w:name w:val="_IG_ – indeks górny"/>
    <w:basedOn w:val="Domylnaczcionkaakapitu"/>
    <w:uiPriority w:val="2"/>
    <w:qFormat/>
    <w:rsid w:val="001834F6"/>
    <w:rPr>
      <w:b w:val="0"/>
      <w:i w:val="0"/>
      <w:vanish w:val="0"/>
      <w:spacing w:val="0"/>
      <w:vertAlign w:val="superscript"/>
    </w:rPr>
  </w:style>
  <w:style w:type="character" w:customStyle="1" w:styleId="Ppogrubienie">
    <w:name w:val="_P_ – pogrubienie"/>
    <w:basedOn w:val="Domylnaczcionkaakapitu"/>
    <w:uiPriority w:val="1"/>
    <w:qFormat/>
    <w:rsid w:val="001834F6"/>
    <w:rPr>
      <w:b/>
    </w:rPr>
  </w:style>
  <w:style w:type="paragraph" w:styleId="Tekstprzypisudolnego">
    <w:name w:val="footnote text"/>
    <w:basedOn w:val="Normalny"/>
    <w:link w:val="TekstprzypisudolnegoZnak"/>
    <w:uiPriority w:val="99"/>
    <w:semiHidden/>
    <w:unhideWhenUsed/>
    <w:rsid w:val="007B47FB"/>
    <w:pPr>
      <w:spacing w:before="0" w:after="0"/>
    </w:pPr>
    <w:rPr>
      <w:sz w:val="20"/>
      <w:szCs w:val="20"/>
    </w:rPr>
  </w:style>
  <w:style w:type="character" w:customStyle="1" w:styleId="TekstprzypisudolnegoZnak">
    <w:name w:val="Tekst przypisu dolnego Znak"/>
    <w:basedOn w:val="Domylnaczcionkaakapitu"/>
    <w:link w:val="Tekstprzypisudolnego"/>
    <w:uiPriority w:val="99"/>
    <w:semiHidden/>
    <w:rsid w:val="007B47FB"/>
    <w:rPr>
      <w:rFonts w:ascii="Times New Roman" w:hAnsi="Times New Roman"/>
      <w:sz w:val="20"/>
      <w:szCs w:val="20"/>
    </w:rPr>
  </w:style>
  <w:style w:type="character" w:styleId="Odwoanieprzypisudolnego">
    <w:name w:val="footnote reference"/>
    <w:basedOn w:val="Domylnaczcionkaakapitu"/>
    <w:uiPriority w:val="99"/>
    <w:semiHidden/>
    <w:unhideWhenUsed/>
    <w:rsid w:val="007B47FB"/>
    <w:rPr>
      <w:vertAlign w:val="superscript"/>
    </w:rPr>
  </w:style>
  <w:style w:type="paragraph" w:styleId="Tekstpodstawowy2">
    <w:name w:val="Body Text 2"/>
    <w:basedOn w:val="Normalny"/>
    <w:link w:val="Tekstpodstawowy2Znak"/>
    <w:rsid w:val="00460008"/>
    <w:pPr>
      <w:spacing w:before="0" w:line="480" w:lineRule="auto"/>
      <w:jc w:val="left"/>
    </w:pPr>
    <w:rPr>
      <w:rFonts w:ascii="Cambria" w:eastAsia="Cambria" w:hAnsi="Cambria" w:cs="Times New Roman"/>
      <w:szCs w:val="24"/>
    </w:rPr>
  </w:style>
  <w:style w:type="character" w:customStyle="1" w:styleId="Tekstpodstawowy2Znak">
    <w:name w:val="Tekst podstawowy 2 Znak"/>
    <w:basedOn w:val="Domylnaczcionkaakapitu"/>
    <w:link w:val="Tekstpodstawowy2"/>
    <w:rsid w:val="00460008"/>
    <w:rPr>
      <w:rFonts w:ascii="Cambria" w:eastAsia="Cambria" w:hAnsi="Cambria" w:cs="Times New Roman"/>
      <w:sz w:val="24"/>
      <w:szCs w:val="24"/>
    </w:rPr>
  </w:style>
  <w:style w:type="character" w:customStyle="1" w:styleId="AkapitzlistZnak">
    <w:name w:val="Akapit z listą Znak"/>
    <w:aliases w:val="Puce Znak,Recommendation Znak,List Paragraph1 Znak,List Paragraph11 Znak,L Znak,Listaszerű bekezdés1 Znak,List Paragraph à moi Znak,Kolorowa lista — akcent 11 Znak,Numerowanie Znak,Dot pt Znak,F5 List Paragraph Znak"/>
    <w:basedOn w:val="Domylnaczcionkaakapitu"/>
    <w:link w:val="Akapitzlist"/>
    <w:uiPriority w:val="34"/>
    <w:locked/>
    <w:rsid w:val="0072553F"/>
    <w:rPr>
      <w:rFonts w:ascii="Times New Roman" w:hAnsi="Times New Roman"/>
      <w:sz w:val="24"/>
    </w:rPr>
  </w:style>
  <w:style w:type="paragraph" w:customStyle="1" w:styleId="Point0number">
    <w:name w:val="Point 0 (number)"/>
    <w:basedOn w:val="Normalny"/>
    <w:rsid w:val="0072553F"/>
    <w:pPr>
      <w:numPr>
        <w:numId w:val="8"/>
      </w:numPr>
    </w:pPr>
    <w:rPr>
      <w:rFonts w:cs="Times New Roman"/>
      <w:lang w:val="en-GB"/>
    </w:rPr>
  </w:style>
  <w:style w:type="paragraph" w:customStyle="1" w:styleId="Point1number">
    <w:name w:val="Point 1 (number)"/>
    <w:basedOn w:val="Normalny"/>
    <w:rsid w:val="0072553F"/>
    <w:pPr>
      <w:numPr>
        <w:ilvl w:val="2"/>
        <w:numId w:val="8"/>
      </w:numPr>
    </w:pPr>
    <w:rPr>
      <w:rFonts w:cs="Times New Roman"/>
      <w:lang w:val="en-GB"/>
    </w:rPr>
  </w:style>
  <w:style w:type="paragraph" w:customStyle="1" w:styleId="Point2number">
    <w:name w:val="Point 2 (number)"/>
    <w:basedOn w:val="Normalny"/>
    <w:rsid w:val="0072553F"/>
    <w:pPr>
      <w:numPr>
        <w:ilvl w:val="4"/>
        <w:numId w:val="8"/>
      </w:numPr>
    </w:pPr>
    <w:rPr>
      <w:rFonts w:cs="Times New Roman"/>
      <w:lang w:val="en-GB"/>
    </w:rPr>
  </w:style>
  <w:style w:type="paragraph" w:customStyle="1" w:styleId="Point3number">
    <w:name w:val="Point 3 (number)"/>
    <w:basedOn w:val="Normalny"/>
    <w:rsid w:val="0072553F"/>
    <w:pPr>
      <w:numPr>
        <w:ilvl w:val="6"/>
        <w:numId w:val="8"/>
      </w:numPr>
    </w:pPr>
    <w:rPr>
      <w:rFonts w:cs="Times New Roman"/>
      <w:lang w:val="en-GB"/>
    </w:rPr>
  </w:style>
  <w:style w:type="paragraph" w:customStyle="1" w:styleId="Point0letter">
    <w:name w:val="Point 0 (letter)"/>
    <w:basedOn w:val="Normalny"/>
    <w:rsid w:val="0072553F"/>
    <w:pPr>
      <w:numPr>
        <w:ilvl w:val="1"/>
        <w:numId w:val="8"/>
      </w:numPr>
    </w:pPr>
    <w:rPr>
      <w:rFonts w:cs="Times New Roman"/>
      <w:lang w:val="en-GB"/>
    </w:rPr>
  </w:style>
  <w:style w:type="paragraph" w:customStyle="1" w:styleId="Point1letter">
    <w:name w:val="Point 1 (letter)"/>
    <w:basedOn w:val="Normalny"/>
    <w:rsid w:val="0072553F"/>
    <w:pPr>
      <w:numPr>
        <w:ilvl w:val="3"/>
        <w:numId w:val="8"/>
      </w:numPr>
    </w:pPr>
    <w:rPr>
      <w:rFonts w:cs="Times New Roman"/>
      <w:lang w:val="en-GB"/>
    </w:rPr>
  </w:style>
  <w:style w:type="paragraph" w:customStyle="1" w:styleId="Point2letter">
    <w:name w:val="Point 2 (letter)"/>
    <w:basedOn w:val="Normalny"/>
    <w:rsid w:val="0072553F"/>
    <w:pPr>
      <w:numPr>
        <w:ilvl w:val="5"/>
        <w:numId w:val="8"/>
      </w:numPr>
    </w:pPr>
    <w:rPr>
      <w:rFonts w:cs="Times New Roman"/>
      <w:lang w:val="en-GB"/>
    </w:rPr>
  </w:style>
  <w:style w:type="paragraph" w:customStyle="1" w:styleId="Point3letter">
    <w:name w:val="Point 3 (letter)"/>
    <w:basedOn w:val="Normalny"/>
    <w:rsid w:val="0072553F"/>
    <w:pPr>
      <w:numPr>
        <w:ilvl w:val="7"/>
        <w:numId w:val="8"/>
      </w:numPr>
    </w:pPr>
    <w:rPr>
      <w:rFonts w:cs="Times New Roman"/>
      <w:lang w:val="en-GB"/>
    </w:rPr>
  </w:style>
  <w:style w:type="paragraph" w:customStyle="1" w:styleId="Point4letter">
    <w:name w:val="Point 4 (letter)"/>
    <w:basedOn w:val="Normalny"/>
    <w:rsid w:val="0072553F"/>
    <w:pPr>
      <w:numPr>
        <w:ilvl w:val="8"/>
        <w:numId w:val="8"/>
      </w:numPr>
    </w:pPr>
    <w:rPr>
      <w:rFonts w:cs="Times New Roman"/>
      <w:lang w:val="en-GB"/>
    </w:rPr>
  </w:style>
  <w:style w:type="character" w:customStyle="1" w:styleId="Nagwek4Znak">
    <w:name w:val="Nagłówek 4 Znak"/>
    <w:basedOn w:val="Domylnaczcionkaakapitu"/>
    <w:link w:val="Nagwek4"/>
    <w:uiPriority w:val="9"/>
    <w:rsid w:val="00543014"/>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D9917-9585-46FF-A469-232162E2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12704</Words>
  <Characters>76225</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88752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Kołaczek Artur</dc:creator>
  <cp:lastModifiedBy>Fałat-Radziejewska Natalia</cp:lastModifiedBy>
  <cp:revision>2</cp:revision>
  <cp:lastPrinted>2016-11-17T07:53:00Z</cp:lastPrinted>
  <dcterms:created xsi:type="dcterms:W3CDTF">2017-05-05T06:55:00Z</dcterms:created>
  <dcterms:modified xsi:type="dcterms:W3CDTF">2017-05-05T06:55:00Z</dcterms:modified>
</cp:coreProperties>
</file>